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280"/>
        </w:tabs>
        <w:spacing w:line="480" w:lineRule="auto"/>
        <w:rPr>
          <w:rFonts w:ascii="宋体" w:hAnsi="宋体"/>
          <w:b/>
          <w:color w:val="000000"/>
          <w:sz w:val="28"/>
          <w:szCs w:val="28"/>
        </w:rPr>
      </w:pPr>
      <w:r>
        <w:rPr>
          <w:rFonts w:hint="eastAsia" w:ascii="宋体" w:hAnsi="宋体"/>
          <w:b/>
          <w:color w:val="000000"/>
          <w:sz w:val="28"/>
          <w:szCs w:val="28"/>
        </w:rPr>
        <w:t>江苏常熟农村商业银行股份有限公司</w:t>
      </w:r>
    </w:p>
    <w:p>
      <w:pPr>
        <w:tabs>
          <w:tab w:val="left" w:pos="8280"/>
        </w:tabs>
        <w:spacing w:line="480" w:lineRule="auto"/>
        <w:rPr>
          <w:rFonts w:hint="default" w:ascii="宋体" w:hAnsi="宋体"/>
          <w:b/>
          <w:color w:val="000000"/>
          <w:sz w:val="28"/>
          <w:lang w:val="en-US"/>
        </w:rPr>
      </w:pPr>
      <w:r>
        <w:rPr>
          <w:rFonts w:hint="eastAsia" w:ascii="宋体" w:hAnsi="宋体"/>
          <w:b/>
          <w:color w:val="000000"/>
          <w:sz w:val="28"/>
          <w:szCs w:val="28"/>
        </w:rPr>
        <w:t>招标编号：</w:t>
      </w:r>
      <w:r>
        <w:rPr>
          <w:rFonts w:hint="eastAsia" w:ascii="宋体" w:hAnsi="宋体"/>
          <w:b/>
          <w:color w:val="000000"/>
          <w:sz w:val="28"/>
          <w:szCs w:val="28"/>
          <w:lang w:val="en-US" w:eastAsia="zh-CN"/>
        </w:rPr>
        <w:t>20210038</w:t>
      </w:r>
      <w:bookmarkStart w:id="3" w:name="_GoBack"/>
      <w:bookmarkEnd w:id="3"/>
    </w:p>
    <w:p>
      <w:pPr>
        <w:pStyle w:val="14"/>
        <w:tabs>
          <w:tab w:val="left" w:pos="8280"/>
        </w:tabs>
        <w:spacing w:line="360" w:lineRule="auto"/>
        <w:outlineLvl w:val="0"/>
        <w:rPr>
          <w:rFonts w:hint="default" w:hAnsi="宋体" w:eastAsia="宋体"/>
          <w:color w:val="000000"/>
          <w:sz w:val="44"/>
          <w:szCs w:val="44"/>
        </w:rPr>
      </w:pPr>
      <w:r>
        <w:rPr>
          <w:rFonts w:hAnsi="宋体" w:eastAsia="宋体"/>
          <w:color w:val="000000"/>
          <w:sz w:val="44"/>
          <w:szCs w:val="44"/>
        </w:rPr>
        <w:t>江苏常熟农村商业银行股份有限公司</w:t>
      </w:r>
    </w:p>
    <w:p>
      <w:pPr>
        <w:pStyle w:val="14"/>
        <w:tabs>
          <w:tab w:val="left" w:pos="8280"/>
        </w:tabs>
        <w:spacing w:line="360" w:lineRule="auto"/>
        <w:outlineLvl w:val="0"/>
        <w:rPr>
          <w:rFonts w:hint="default" w:hAnsi="宋体" w:eastAsia="宋体"/>
          <w:color w:val="000000"/>
          <w:sz w:val="44"/>
          <w:szCs w:val="44"/>
        </w:rPr>
      </w:pPr>
      <w:r>
        <w:rPr>
          <w:rFonts w:hAnsi="宋体" w:eastAsia="宋体"/>
          <w:color w:val="000000"/>
          <w:sz w:val="44"/>
          <w:szCs w:val="44"/>
        </w:rPr>
        <w:t>UPS设备</w:t>
      </w:r>
      <w:r>
        <w:rPr>
          <w:rFonts w:hint="eastAsia" w:hAnsi="宋体" w:eastAsia="宋体"/>
          <w:color w:val="000000"/>
          <w:sz w:val="44"/>
          <w:szCs w:val="44"/>
          <w:lang w:val="en-US" w:eastAsia="zh-CN"/>
        </w:rPr>
        <w:t>采购</w:t>
      </w:r>
      <w:r>
        <w:rPr>
          <w:rFonts w:hint="eastAsia" w:hAnsi="宋体" w:eastAsia="宋体"/>
          <w:color w:val="000000"/>
          <w:sz w:val="44"/>
          <w:szCs w:val="44"/>
          <w:lang w:eastAsia="zh-CN"/>
        </w:rPr>
        <w:t>项目</w:t>
      </w:r>
      <w:r>
        <w:rPr>
          <w:rFonts w:hAnsi="宋体" w:eastAsia="宋体"/>
          <w:color w:val="000000"/>
          <w:sz w:val="44"/>
          <w:szCs w:val="44"/>
        </w:rPr>
        <w:t>招标书</w:t>
      </w:r>
    </w:p>
    <w:p>
      <w:pPr>
        <w:tabs>
          <w:tab w:val="left" w:pos="8280"/>
        </w:tabs>
        <w:jc w:val="center"/>
        <w:rPr>
          <w:rFonts w:ascii="宋体" w:hAnsi="宋体"/>
          <w:b/>
          <w:color w:val="000000"/>
          <w:sz w:val="48"/>
        </w:rPr>
      </w:pPr>
    </w:p>
    <w:p>
      <w:pPr>
        <w:tabs>
          <w:tab w:val="left" w:pos="8280"/>
        </w:tabs>
        <w:jc w:val="center"/>
        <w:outlineLvl w:val="0"/>
        <w:rPr>
          <w:rFonts w:ascii="宋体" w:hAnsi="宋体"/>
          <w:color w:val="000000"/>
          <w:sz w:val="48"/>
        </w:rPr>
      </w:pPr>
    </w:p>
    <w:p>
      <w:pPr>
        <w:tabs>
          <w:tab w:val="left" w:pos="8280"/>
        </w:tabs>
        <w:jc w:val="center"/>
        <w:outlineLvl w:val="0"/>
        <w:rPr>
          <w:rFonts w:ascii="宋体" w:hAnsi="宋体"/>
          <w:color w:val="000000"/>
          <w:sz w:val="48"/>
        </w:rPr>
      </w:pPr>
    </w:p>
    <w:p>
      <w:pPr>
        <w:tabs>
          <w:tab w:val="left" w:pos="8280"/>
        </w:tabs>
        <w:jc w:val="center"/>
        <w:outlineLvl w:val="0"/>
        <w:rPr>
          <w:rFonts w:ascii="宋体" w:hAnsi="宋体"/>
          <w:color w:val="000000"/>
          <w:sz w:val="48"/>
        </w:rPr>
      </w:pPr>
    </w:p>
    <w:p>
      <w:pPr>
        <w:tabs>
          <w:tab w:val="left" w:pos="8280"/>
        </w:tabs>
        <w:jc w:val="center"/>
        <w:outlineLvl w:val="0"/>
        <w:rPr>
          <w:rFonts w:ascii="宋体" w:hAnsi="宋体"/>
          <w:color w:val="000000"/>
          <w:sz w:val="48"/>
        </w:rPr>
      </w:pPr>
    </w:p>
    <w:p>
      <w:pPr>
        <w:tabs>
          <w:tab w:val="left" w:pos="8280"/>
        </w:tabs>
        <w:jc w:val="center"/>
        <w:outlineLvl w:val="0"/>
        <w:rPr>
          <w:rFonts w:ascii="宋体" w:hAnsi="宋体"/>
          <w:color w:val="000000"/>
          <w:sz w:val="48"/>
        </w:rPr>
      </w:pPr>
    </w:p>
    <w:p>
      <w:pPr>
        <w:tabs>
          <w:tab w:val="left" w:pos="8280"/>
        </w:tabs>
        <w:jc w:val="center"/>
        <w:outlineLvl w:val="0"/>
        <w:rPr>
          <w:rFonts w:ascii="宋体" w:hAnsi="宋体"/>
          <w:color w:val="000000"/>
          <w:sz w:val="48"/>
        </w:rPr>
      </w:pPr>
    </w:p>
    <w:p>
      <w:pPr>
        <w:tabs>
          <w:tab w:val="left" w:pos="8280"/>
        </w:tabs>
        <w:jc w:val="center"/>
        <w:outlineLvl w:val="0"/>
        <w:rPr>
          <w:rFonts w:ascii="宋体" w:hAnsi="宋体"/>
          <w:color w:val="000000"/>
          <w:sz w:val="48"/>
        </w:rPr>
      </w:pPr>
    </w:p>
    <w:p>
      <w:pPr>
        <w:tabs>
          <w:tab w:val="left" w:pos="8280"/>
        </w:tabs>
        <w:jc w:val="center"/>
        <w:outlineLvl w:val="0"/>
        <w:rPr>
          <w:rFonts w:ascii="宋体" w:hAnsi="宋体"/>
          <w:color w:val="000000"/>
          <w:sz w:val="48"/>
        </w:rPr>
      </w:pPr>
    </w:p>
    <w:p>
      <w:pPr>
        <w:tabs>
          <w:tab w:val="left" w:pos="8280"/>
        </w:tabs>
        <w:jc w:val="center"/>
        <w:outlineLvl w:val="0"/>
        <w:rPr>
          <w:rFonts w:ascii="宋体" w:hAnsi="宋体"/>
          <w:color w:val="000000"/>
          <w:sz w:val="48"/>
        </w:rPr>
      </w:pPr>
    </w:p>
    <w:p>
      <w:pPr>
        <w:tabs>
          <w:tab w:val="left" w:pos="8280"/>
        </w:tabs>
        <w:jc w:val="center"/>
        <w:outlineLvl w:val="0"/>
        <w:rPr>
          <w:rFonts w:ascii="宋体" w:hAnsi="宋体"/>
          <w:color w:val="000000"/>
          <w:sz w:val="48"/>
        </w:rPr>
      </w:pPr>
    </w:p>
    <w:p>
      <w:pPr>
        <w:tabs>
          <w:tab w:val="left" w:pos="8280"/>
        </w:tabs>
        <w:jc w:val="center"/>
        <w:outlineLvl w:val="0"/>
        <w:rPr>
          <w:rFonts w:ascii="宋体" w:hAnsi="宋体"/>
          <w:color w:val="000000"/>
          <w:sz w:val="48"/>
        </w:rPr>
      </w:pPr>
    </w:p>
    <w:p>
      <w:pPr>
        <w:tabs>
          <w:tab w:val="left" w:pos="8280"/>
        </w:tabs>
        <w:jc w:val="center"/>
        <w:outlineLvl w:val="0"/>
        <w:rPr>
          <w:rFonts w:ascii="宋体" w:hAnsi="宋体"/>
          <w:color w:val="000000"/>
          <w:sz w:val="48"/>
        </w:rPr>
      </w:pPr>
    </w:p>
    <w:p>
      <w:pPr>
        <w:tabs>
          <w:tab w:val="left" w:pos="8280"/>
        </w:tabs>
        <w:jc w:val="center"/>
        <w:outlineLvl w:val="0"/>
        <w:rPr>
          <w:rFonts w:ascii="宋体" w:hAnsi="宋体"/>
          <w:color w:val="000000"/>
          <w:sz w:val="48"/>
        </w:rPr>
      </w:pPr>
    </w:p>
    <w:p>
      <w:pPr>
        <w:tabs>
          <w:tab w:val="left" w:pos="8280"/>
        </w:tabs>
        <w:jc w:val="center"/>
        <w:outlineLvl w:val="0"/>
        <w:rPr>
          <w:rFonts w:ascii="宋体" w:hAnsi="宋体"/>
          <w:b/>
          <w:color w:val="000000"/>
          <w:sz w:val="30"/>
          <w:szCs w:val="30"/>
        </w:rPr>
      </w:pPr>
      <w:r>
        <w:rPr>
          <w:rFonts w:hint="eastAsia" w:ascii="宋体" w:hAnsi="宋体"/>
          <w:b/>
          <w:color w:val="000000"/>
          <w:sz w:val="30"/>
          <w:szCs w:val="30"/>
        </w:rPr>
        <w:t>江苏常熟农村商业银行股份有限公司</w:t>
      </w:r>
    </w:p>
    <w:p>
      <w:pPr>
        <w:jc w:val="center"/>
        <w:rPr>
          <w:rFonts w:ascii="宋体" w:hAnsi="宋体"/>
          <w:color w:val="000000"/>
          <w:sz w:val="30"/>
          <w:szCs w:val="30"/>
        </w:rPr>
      </w:pPr>
      <w:r>
        <w:rPr>
          <w:rFonts w:hint="eastAsia" w:ascii="宋体" w:hAnsi="宋体"/>
          <w:color w:val="000000"/>
          <w:sz w:val="30"/>
          <w:szCs w:val="30"/>
        </w:rPr>
        <w:t>二〇</w:t>
      </w:r>
      <w:r>
        <w:rPr>
          <w:rFonts w:hint="eastAsia" w:ascii="宋体" w:hAnsi="宋体"/>
          <w:color w:val="000000"/>
          <w:sz w:val="30"/>
          <w:szCs w:val="30"/>
          <w:lang w:eastAsia="zh-CN"/>
        </w:rPr>
        <w:t>二</w:t>
      </w:r>
      <w:r>
        <w:rPr>
          <w:rFonts w:hint="eastAsia" w:ascii="宋体" w:hAnsi="宋体"/>
          <w:color w:val="000000"/>
          <w:sz w:val="30"/>
          <w:szCs w:val="30"/>
          <w:lang w:val="en-US" w:eastAsia="zh-CN"/>
        </w:rPr>
        <w:t>一</w:t>
      </w:r>
      <w:r>
        <w:rPr>
          <w:rFonts w:hint="eastAsia" w:ascii="宋体" w:hAnsi="宋体"/>
          <w:color w:val="000000"/>
          <w:sz w:val="30"/>
          <w:szCs w:val="30"/>
        </w:rPr>
        <w:t>年</w:t>
      </w:r>
      <w:r>
        <w:rPr>
          <w:rFonts w:hint="eastAsia" w:ascii="宋体" w:hAnsi="宋体"/>
          <w:color w:val="000000"/>
          <w:sz w:val="30"/>
          <w:szCs w:val="30"/>
          <w:lang w:val="en-US" w:eastAsia="zh-CN"/>
        </w:rPr>
        <w:t>七</w:t>
      </w:r>
      <w:r>
        <w:rPr>
          <w:rFonts w:hint="eastAsia" w:ascii="宋体" w:hAnsi="宋体"/>
          <w:color w:val="000000"/>
          <w:sz w:val="30"/>
          <w:szCs w:val="30"/>
        </w:rPr>
        <w:t>月</w:t>
      </w:r>
      <w:r>
        <w:rPr>
          <w:rFonts w:hint="eastAsia" w:ascii="宋体" w:hAnsi="宋体"/>
          <w:color w:val="000000"/>
          <w:sz w:val="30"/>
          <w:szCs w:val="30"/>
          <w:lang w:eastAsia="zh-CN"/>
        </w:rPr>
        <w:t>十</w:t>
      </w:r>
      <w:r>
        <w:rPr>
          <w:rFonts w:hint="eastAsia" w:ascii="宋体" w:hAnsi="宋体"/>
          <w:color w:val="000000"/>
          <w:sz w:val="30"/>
          <w:szCs w:val="30"/>
          <w:lang w:val="en-US" w:eastAsia="zh-CN"/>
        </w:rPr>
        <w:t>二</w:t>
      </w:r>
      <w:r>
        <w:rPr>
          <w:rFonts w:hint="eastAsia" w:ascii="宋体" w:hAnsi="宋体"/>
          <w:color w:val="000000"/>
          <w:sz w:val="30"/>
          <w:szCs w:val="30"/>
        </w:rPr>
        <w:t>日</w:t>
      </w:r>
    </w:p>
    <w:p>
      <w:pPr>
        <w:rPr>
          <w:rFonts w:ascii="宋体" w:hAnsi="宋体"/>
          <w:b/>
          <w:sz w:val="28"/>
          <w:szCs w:val="28"/>
        </w:rPr>
      </w:pPr>
    </w:p>
    <w:p>
      <w:pPr>
        <w:autoSpaceDE w:val="0"/>
        <w:autoSpaceDN w:val="0"/>
        <w:adjustRightInd w:val="0"/>
        <w:spacing w:line="560" w:lineRule="atLeast"/>
        <w:jc w:val="center"/>
        <w:rPr>
          <w:rFonts w:hint="eastAsia" w:ascii="宋体" w:hAnsi="宋体"/>
          <w:b/>
          <w:bCs/>
          <w:snapToGrid w:val="0"/>
          <w:color w:val="000000"/>
          <w:sz w:val="32"/>
        </w:rPr>
      </w:pPr>
    </w:p>
    <w:p>
      <w:pPr>
        <w:autoSpaceDE w:val="0"/>
        <w:autoSpaceDN w:val="0"/>
        <w:adjustRightInd w:val="0"/>
        <w:spacing w:line="560" w:lineRule="atLeast"/>
        <w:jc w:val="center"/>
        <w:rPr>
          <w:rFonts w:ascii="宋体" w:hAnsi="宋体"/>
          <w:b/>
          <w:bCs/>
          <w:snapToGrid w:val="0"/>
          <w:color w:val="000000"/>
          <w:sz w:val="32"/>
        </w:rPr>
      </w:pPr>
      <w:r>
        <w:rPr>
          <w:rFonts w:hint="eastAsia" w:ascii="宋体" w:hAnsi="宋体"/>
          <w:b/>
          <w:bCs/>
          <w:snapToGrid w:val="0"/>
          <w:color w:val="000000"/>
          <w:sz w:val="32"/>
        </w:rPr>
        <w:t>申   明</w:t>
      </w:r>
    </w:p>
    <w:p>
      <w:pPr>
        <w:wordWrap w:val="0"/>
        <w:autoSpaceDE w:val="0"/>
        <w:autoSpaceDN w:val="0"/>
        <w:adjustRightInd w:val="0"/>
        <w:spacing w:line="560" w:lineRule="atLeast"/>
        <w:ind w:firstLine="624"/>
        <w:rPr>
          <w:rFonts w:ascii="宋体" w:hAnsi="宋体"/>
          <w:snapToGrid w:val="0"/>
          <w:color w:val="000000"/>
          <w:sz w:val="28"/>
        </w:rPr>
      </w:pPr>
      <w:r>
        <w:rPr>
          <w:rFonts w:hint="eastAsia" w:ascii="宋体" w:hAnsi="宋体"/>
          <w:snapToGrid w:val="0"/>
          <w:color w:val="000000"/>
          <w:sz w:val="28"/>
        </w:rPr>
        <w:t>本招标文件专用于江苏常熟农村商业银行股份有限公司本次“</w:t>
      </w:r>
      <w:r>
        <w:rPr>
          <w:rFonts w:ascii="宋体" w:hAnsi="宋体"/>
          <w:snapToGrid w:val="0"/>
          <w:color w:val="000000"/>
          <w:sz w:val="28"/>
        </w:rPr>
        <w:t>UPS设备</w:t>
      </w:r>
      <w:r>
        <w:rPr>
          <w:rFonts w:hint="eastAsia" w:ascii="宋体" w:hAnsi="宋体"/>
          <w:snapToGrid w:val="0"/>
          <w:color w:val="000000"/>
          <w:sz w:val="28"/>
        </w:rPr>
        <w:t>采购</w:t>
      </w:r>
      <w:r>
        <w:rPr>
          <w:rFonts w:ascii="宋体" w:hAnsi="宋体"/>
          <w:snapToGrid w:val="0"/>
          <w:color w:val="000000"/>
          <w:sz w:val="28"/>
        </w:rPr>
        <w:t>”</w:t>
      </w:r>
      <w:r>
        <w:rPr>
          <w:rFonts w:hint="eastAsia" w:ascii="宋体" w:hAnsi="宋体"/>
          <w:snapToGrid w:val="0"/>
          <w:color w:val="000000"/>
          <w:sz w:val="28"/>
        </w:rPr>
        <w:t>项目招标，江苏常熟农村商业银行股份有限公司对本招标文件及招标文件内容享有解释权。参加投标单位即视为无条件同意本申明并保证对本招标文件可能涉及的江苏常熟农村商业银行股份有限公司商业秘密予以保密，除经江苏常熟农村商业银行股份有限公司书面同意外，任何单位和个人不得为参与本项目投标以外的目的而出版、复制、传播、销售及使用本招标文件。</w:t>
      </w:r>
    </w:p>
    <w:p>
      <w:pPr>
        <w:wordWrap w:val="0"/>
        <w:autoSpaceDE w:val="0"/>
        <w:autoSpaceDN w:val="0"/>
        <w:adjustRightInd w:val="0"/>
        <w:spacing w:line="560" w:lineRule="atLeast"/>
        <w:ind w:firstLine="624"/>
        <w:rPr>
          <w:rFonts w:ascii="宋体" w:hAnsi="宋体"/>
          <w:snapToGrid w:val="0"/>
          <w:color w:val="000000"/>
          <w:sz w:val="28"/>
        </w:rPr>
      </w:pPr>
    </w:p>
    <w:p>
      <w:pPr>
        <w:tabs>
          <w:tab w:val="left" w:pos="8280"/>
        </w:tabs>
        <w:jc w:val="center"/>
        <w:outlineLvl w:val="0"/>
        <w:rPr>
          <w:rFonts w:ascii="宋体" w:hAnsi="宋体"/>
          <w:b/>
          <w:color w:val="000000"/>
          <w:sz w:val="36"/>
        </w:rPr>
      </w:pPr>
    </w:p>
    <w:p>
      <w:pPr>
        <w:tabs>
          <w:tab w:val="left" w:pos="8280"/>
        </w:tabs>
        <w:jc w:val="center"/>
        <w:outlineLvl w:val="0"/>
        <w:rPr>
          <w:rFonts w:ascii="宋体" w:hAnsi="宋体"/>
          <w:b/>
          <w:color w:val="000000"/>
          <w:sz w:val="36"/>
        </w:rPr>
      </w:pPr>
    </w:p>
    <w:p>
      <w:pPr>
        <w:tabs>
          <w:tab w:val="left" w:pos="8280"/>
        </w:tabs>
        <w:jc w:val="center"/>
        <w:outlineLvl w:val="0"/>
        <w:rPr>
          <w:rFonts w:ascii="宋体" w:hAnsi="宋体"/>
          <w:b/>
          <w:color w:val="000000"/>
          <w:sz w:val="36"/>
        </w:rPr>
      </w:pPr>
    </w:p>
    <w:p>
      <w:pPr>
        <w:tabs>
          <w:tab w:val="left" w:pos="8280"/>
        </w:tabs>
        <w:jc w:val="center"/>
        <w:outlineLvl w:val="0"/>
        <w:rPr>
          <w:rFonts w:ascii="宋体" w:hAnsi="宋体"/>
          <w:b/>
          <w:color w:val="000000"/>
          <w:sz w:val="36"/>
        </w:rPr>
      </w:pPr>
    </w:p>
    <w:p>
      <w:pPr>
        <w:tabs>
          <w:tab w:val="left" w:pos="8280"/>
        </w:tabs>
        <w:jc w:val="center"/>
        <w:outlineLvl w:val="0"/>
        <w:rPr>
          <w:rFonts w:ascii="宋体" w:hAnsi="宋体"/>
          <w:b/>
          <w:color w:val="000000"/>
          <w:sz w:val="36"/>
        </w:rPr>
      </w:pPr>
    </w:p>
    <w:p>
      <w:pPr>
        <w:tabs>
          <w:tab w:val="left" w:pos="8280"/>
        </w:tabs>
        <w:jc w:val="center"/>
        <w:outlineLvl w:val="0"/>
        <w:rPr>
          <w:rFonts w:ascii="宋体" w:hAnsi="宋体"/>
          <w:b/>
          <w:color w:val="000000"/>
          <w:sz w:val="36"/>
        </w:rPr>
      </w:pPr>
    </w:p>
    <w:p>
      <w:pPr>
        <w:tabs>
          <w:tab w:val="left" w:pos="8280"/>
        </w:tabs>
        <w:jc w:val="center"/>
        <w:outlineLvl w:val="0"/>
        <w:rPr>
          <w:rFonts w:ascii="宋体" w:hAnsi="宋体"/>
          <w:b/>
          <w:color w:val="000000"/>
          <w:sz w:val="36"/>
        </w:rPr>
      </w:pPr>
    </w:p>
    <w:p>
      <w:pPr>
        <w:tabs>
          <w:tab w:val="left" w:pos="8280"/>
        </w:tabs>
        <w:jc w:val="center"/>
        <w:outlineLvl w:val="0"/>
        <w:rPr>
          <w:rFonts w:ascii="宋体" w:hAnsi="宋体"/>
          <w:b/>
          <w:color w:val="000000"/>
          <w:sz w:val="36"/>
        </w:rPr>
      </w:pPr>
    </w:p>
    <w:p>
      <w:pPr>
        <w:tabs>
          <w:tab w:val="left" w:pos="8280"/>
        </w:tabs>
        <w:jc w:val="center"/>
        <w:outlineLvl w:val="0"/>
        <w:rPr>
          <w:rFonts w:ascii="宋体" w:hAnsi="宋体"/>
          <w:b/>
          <w:color w:val="000000"/>
          <w:sz w:val="36"/>
        </w:rPr>
      </w:pPr>
    </w:p>
    <w:p>
      <w:pPr>
        <w:tabs>
          <w:tab w:val="left" w:pos="8280"/>
        </w:tabs>
        <w:jc w:val="center"/>
        <w:outlineLvl w:val="0"/>
        <w:rPr>
          <w:rFonts w:ascii="宋体" w:hAnsi="宋体"/>
          <w:b/>
          <w:color w:val="000000"/>
          <w:sz w:val="36"/>
        </w:rPr>
      </w:pPr>
    </w:p>
    <w:p>
      <w:pPr>
        <w:tabs>
          <w:tab w:val="left" w:pos="8280"/>
        </w:tabs>
        <w:jc w:val="center"/>
        <w:outlineLvl w:val="0"/>
        <w:rPr>
          <w:rFonts w:ascii="宋体" w:hAnsi="宋体"/>
          <w:b/>
          <w:color w:val="000000"/>
          <w:sz w:val="36"/>
        </w:rPr>
      </w:pPr>
    </w:p>
    <w:p>
      <w:pPr>
        <w:tabs>
          <w:tab w:val="left" w:pos="8280"/>
        </w:tabs>
        <w:jc w:val="center"/>
        <w:outlineLvl w:val="0"/>
        <w:rPr>
          <w:rFonts w:ascii="宋体" w:hAnsi="宋体"/>
          <w:b/>
          <w:color w:val="000000"/>
          <w:sz w:val="36"/>
        </w:rPr>
      </w:pPr>
    </w:p>
    <w:p>
      <w:pPr>
        <w:autoSpaceDE w:val="0"/>
        <w:autoSpaceDN w:val="0"/>
        <w:adjustRightInd w:val="0"/>
        <w:spacing w:line="640" w:lineRule="atLeast"/>
        <w:jc w:val="both"/>
        <w:rPr>
          <w:rFonts w:hint="eastAsia" w:ascii="宋体" w:hAnsi="宋体"/>
          <w:b/>
          <w:color w:val="000000"/>
          <w:sz w:val="32"/>
          <w:szCs w:val="32"/>
        </w:rPr>
      </w:pPr>
    </w:p>
    <w:p>
      <w:pPr>
        <w:autoSpaceDE w:val="0"/>
        <w:autoSpaceDN w:val="0"/>
        <w:adjustRightInd w:val="0"/>
        <w:spacing w:line="640" w:lineRule="atLeast"/>
        <w:jc w:val="center"/>
        <w:rPr>
          <w:rFonts w:ascii="宋体" w:hAnsi="宋体"/>
          <w:b/>
          <w:bCs/>
          <w:snapToGrid w:val="0"/>
          <w:color w:val="000000"/>
          <w:sz w:val="32"/>
          <w:szCs w:val="32"/>
        </w:rPr>
      </w:pPr>
      <w:r>
        <w:rPr>
          <w:rFonts w:hint="eastAsia" w:ascii="宋体" w:hAnsi="宋体"/>
          <w:b/>
          <w:color w:val="000000"/>
          <w:sz w:val="32"/>
          <w:szCs w:val="32"/>
        </w:rPr>
        <w:t xml:space="preserve">第一部分  </w:t>
      </w:r>
      <w:r>
        <w:rPr>
          <w:rFonts w:hint="eastAsia" w:ascii="宋体" w:hAnsi="宋体"/>
          <w:b/>
          <w:bCs/>
          <w:snapToGrid w:val="0"/>
          <w:color w:val="000000"/>
          <w:sz w:val="32"/>
          <w:szCs w:val="32"/>
        </w:rPr>
        <w:t>投标函</w:t>
      </w:r>
    </w:p>
    <w:p>
      <w:pPr>
        <w:autoSpaceDE w:val="0"/>
        <w:autoSpaceDN w:val="0"/>
        <w:adjustRightInd w:val="0"/>
        <w:spacing w:line="560" w:lineRule="atLeast"/>
        <w:ind w:firstLine="624"/>
        <w:jc w:val="left"/>
        <w:rPr>
          <w:rFonts w:ascii="宋体" w:hAnsi="宋体"/>
          <w:snapToGrid w:val="0"/>
          <w:color w:val="000000"/>
          <w:sz w:val="28"/>
          <w:szCs w:val="28"/>
        </w:rPr>
      </w:pPr>
      <w:r>
        <w:rPr>
          <w:rFonts w:hint="eastAsia" w:ascii="宋体" w:hAnsi="宋体"/>
          <w:snapToGrid w:val="0"/>
          <w:color w:val="000000"/>
          <w:sz w:val="28"/>
          <w:szCs w:val="28"/>
        </w:rPr>
        <w:t>根据</w:t>
      </w:r>
      <w:r>
        <w:rPr>
          <w:rFonts w:hint="eastAsia" w:ascii="宋体" w:hAnsi="宋体"/>
          <w:snapToGrid w:val="0"/>
          <w:color w:val="000000"/>
          <w:sz w:val="28"/>
        </w:rPr>
        <w:t>江苏常熟农村商业银行股份有限公司</w:t>
      </w:r>
      <w:r>
        <w:rPr>
          <w:rFonts w:hint="eastAsia" w:ascii="宋体" w:hAnsi="宋体"/>
          <w:snapToGrid w:val="0"/>
          <w:color w:val="000000"/>
          <w:sz w:val="28"/>
          <w:szCs w:val="28"/>
        </w:rPr>
        <w:t>业务发展的需求，现就我行“</w:t>
      </w:r>
      <w:r>
        <w:rPr>
          <w:rFonts w:ascii="宋体" w:hAnsi="宋体"/>
          <w:snapToGrid w:val="0"/>
          <w:color w:val="000000"/>
          <w:sz w:val="28"/>
        </w:rPr>
        <w:t>UPS设备</w:t>
      </w:r>
      <w:r>
        <w:rPr>
          <w:rFonts w:hint="eastAsia" w:ascii="宋体" w:hAnsi="宋体"/>
          <w:snapToGrid w:val="0"/>
          <w:color w:val="000000"/>
          <w:sz w:val="28"/>
        </w:rPr>
        <w:t>采购”项目</w:t>
      </w:r>
      <w:r>
        <w:rPr>
          <w:rFonts w:hint="eastAsia" w:ascii="宋体" w:hAnsi="宋体"/>
          <w:snapToGrid w:val="0"/>
          <w:color w:val="000000"/>
          <w:sz w:val="28"/>
          <w:szCs w:val="28"/>
        </w:rPr>
        <w:t>进行公开招标：</w:t>
      </w:r>
    </w:p>
    <w:p>
      <w:pPr>
        <w:tabs>
          <w:tab w:val="left" w:pos="8280"/>
        </w:tabs>
        <w:rPr>
          <w:rFonts w:hint="default" w:ascii="宋体" w:hAnsi="宋体" w:eastAsia="宋体"/>
          <w:b/>
          <w:color w:val="000000"/>
          <w:sz w:val="28"/>
          <w:szCs w:val="28"/>
          <w:lang w:val="en-US" w:eastAsia="zh-CN"/>
        </w:rPr>
      </w:pPr>
      <w:r>
        <w:rPr>
          <w:rFonts w:hint="eastAsia" w:ascii="宋体" w:hAnsi="宋体"/>
          <w:snapToGrid w:val="0"/>
          <w:color w:val="000000"/>
          <w:sz w:val="28"/>
          <w:szCs w:val="28"/>
        </w:rPr>
        <w:t>1.招标编号：</w:t>
      </w:r>
      <w:r>
        <w:rPr>
          <w:rFonts w:hint="eastAsia" w:ascii="宋体" w:hAnsi="宋体"/>
          <w:snapToGrid w:val="0"/>
          <w:color w:val="000000"/>
          <w:sz w:val="28"/>
          <w:szCs w:val="28"/>
          <w:lang w:val="en-US" w:eastAsia="zh-CN"/>
        </w:rPr>
        <w:t>20210038</w:t>
      </w:r>
    </w:p>
    <w:p>
      <w:pPr>
        <w:tabs>
          <w:tab w:val="left" w:pos="8280"/>
        </w:tabs>
        <w:rPr>
          <w:rFonts w:ascii="宋体" w:hAnsi="宋体"/>
          <w:snapToGrid w:val="0"/>
          <w:color w:val="000000"/>
          <w:sz w:val="28"/>
          <w:szCs w:val="28"/>
          <w:u w:val="single"/>
        </w:rPr>
      </w:pPr>
      <w:r>
        <w:rPr>
          <w:rFonts w:hint="eastAsia" w:ascii="宋体" w:hAnsi="宋体"/>
          <w:snapToGrid w:val="0"/>
          <w:color w:val="000000"/>
          <w:sz w:val="28"/>
          <w:szCs w:val="28"/>
        </w:rPr>
        <w:t>2.招标人：</w:t>
      </w:r>
      <w:r>
        <w:rPr>
          <w:rFonts w:hint="eastAsia" w:ascii="宋体" w:hAnsi="宋体"/>
          <w:snapToGrid w:val="0"/>
          <w:color w:val="000000"/>
          <w:sz w:val="28"/>
        </w:rPr>
        <w:t>江苏常熟农村商业银行股份有限公司</w:t>
      </w:r>
    </w:p>
    <w:p>
      <w:pPr>
        <w:tabs>
          <w:tab w:val="left" w:pos="1260"/>
        </w:tabs>
        <w:autoSpaceDE w:val="0"/>
        <w:autoSpaceDN w:val="0"/>
        <w:adjustRightInd w:val="0"/>
        <w:jc w:val="left"/>
        <w:rPr>
          <w:rFonts w:ascii="宋体" w:hAnsi="宋体"/>
          <w:snapToGrid w:val="0"/>
          <w:color w:val="000000"/>
          <w:sz w:val="28"/>
          <w:szCs w:val="28"/>
        </w:rPr>
      </w:pPr>
      <w:r>
        <w:rPr>
          <w:rFonts w:hint="eastAsia" w:ascii="宋体" w:hAnsi="宋体"/>
          <w:snapToGrid w:val="0"/>
          <w:color w:val="000000"/>
          <w:sz w:val="28"/>
          <w:szCs w:val="28"/>
        </w:rPr>
        <w:t>3.项目实施地点：常熟</w:t>
      </w:r>
    </w:p>
    <w:p>
      <w:pPr>
        <w:tabs>
          <w:tab w:val="left" w:pos="1260"/>
        </w:tabs>
        <w:autoSpaceDE w:val="0"/>
        <w:autoSpaceDN w:val="0"/>
        <w:adjustRightInd w:val="0"/>
        <w:jc w:val="left"/>
        <w:rPr>
          <w:rFonts w:ascii="宋体" w:hAnsi="宋体"/>
          <w:snapToGrid w:val="0"/>
          <w:color w:val="000000"/>
          <w:sz w:val="28"/>
          <w:szCs w:val="28"/>
        </w:rPr>
      </w:pPr>
      <w:r>
        <w:rPr>
          <w:rFonts w:hint="eastAsia" w:ascii="宋体" w:hAnsi="宋体"/>
          <w:snapToGrid w:val="0"/>
          <w:color w:val="000000"/>
          <w:sz w:val="28"/>
          <w:szCs w:val="28"/>
        </w:rPr>
        <w:t>4.发放标书时间：北京时间</w:t>
      </w:r>
      <w:r>
        <w:rPr>
          <w:rFonts w:hint="eastAsia" w:ascii="宋体" w:hAnsi="宋体"/>
          <w:snapToGrid w:val="0"/>
          <w:color w:val="000000"/>
          <w:sz w:val="28"/>
          <w:szCs w:val="28"/>
          <w:lang w:val="en-US" w:eastAsia="zh-CN"/>
        </w:rPr>
        <w:t xml:space="preserve"> </w:t>
      </w:r>
      <w:r>
        <w:rPr>
          <w:rFonts w:hint="eastAsia" w:ascii="宋体" w:hAnsi="宋体"/>
          <w:snapToGrid w:val="0"/>
          <w:color w:val="000000"/>
          <w:sz w:val="28"/>
          <w:szCs w:val="28"/>
        </w:rPr>
        <w:t>20</w:t>
      </w:r>
      <w:r>
        <w:rPr>
          <w:rFonts w:hint="eastAsia" w:ascii="宋体" w:hAnsi="宋体"/>
          <w:snapToGrid w:val="0"/>
          <w:color w:val="000000"/>
          <w:sz w:val="28"/>
          <w:szCs w:val="28"/>
          <w:lang w:val="en-US" w:eastAsia="zh-CN"/>
        </w:rPr>
        <w:t>21</w:t>
      </w:r>
      <w:r>
        <w:rPr>
          <w:rFonts w:hint="eastAsia" w:ascii="宋体" w:hAnsi="宋体"/>
          <w:snapToGrid w:val="0"/>
          <w:color w:val="000000"/>
          <w:sz w:val="28"/>
          <w:szCs w:val="28"/>
        </w:rPr>
        <w:t>年</w:t>
      </w:r>
      <w:r>
        <w:rPr>
          <w:rFonts w:hint="eastAsia" w:ascii="宋体" w:hAnsi="宋体"/>
          <w:snapToGrid w:val="0"/>
          <w:color w:val="000000"/>
          <w:sz w:val="28"/>
          <w:szCs w:val="28"/>
          <w:lang w:val="en-US" w:eastAsia="zh-CN"/>
        </w:rPr>
        <w:t>7</w:t>
      </w:r>
      <w:r>
        <w:rPr>
          <w:rFonts w:hint="eastAsia" w:ascii="宋体" w:hAnsi="宋体"/>
          <w:snapToGrid w:val="0"/>
          <w:color w:val="000000"/>
          <w:sz w:val="28"/>
          <w:szCs w:val="28"/>
        </w:rPr>
        <w:t>月</w:t>
      </w:r>
      <w:r>
        <w:rPr>
          <w:rFonts w:hint="eastAsia" w:ascii="宋体" w:hAnsi="宋体"/>
          <w:snapToGrid w:val="0"/>
          <w:color w:val="000000"/>
          <w:sz w:val="28"/>
          <w:szCs w:val="28"/>
          <w:lang w:val="en-US" w:eastAsia="zh-CN"/>
        </w:rPr>
        <w:t>12</w:t>
      </w:r>
      <w:r>
        <w:rPr>
          <w:rFonts w:hint="eastAsia" w:ascii="宋体" w:hAnsi="宋体"/>
          <w:snapToGrid w:val="0"/>
          <w:color w:val="000000"/>
          <w:sz w:val="28"/>
          <w:szCs w:val="28"/>
        </w:rPr>
        <w:t xml:space="preserve">日 </w:t>
      </w:r>
    </w:p>
    <w:p>
      <w:pPr>
        <w:tabs>
          <w:tab w:val="left" w:pos="1260"/>
        </w:tabs>
        <w:autoSpaceDE w:val="0"/>
        <w:autoSpaceDN w:val="0"/>
        <w:adjustRightInd w:val="0"/>
        <w:jc w:val="left"/>
        <w:rPr>
          <w:rFonts w:ascii="宋体" w:hAnsi="宋体"/>
          <w:snapToGrid w:val="0"/>
          <w:color w:val="000000"/>
          <w:sz w:val="28"/>
          <w:szCs w:val="28"/>
        </w:rPr>
      </w:pPr>
      <w:r>
        <w:rPr>
          <w:rFonts w:hint="eastAsia" w:ascii="宋体" w:hAnsi="宋体"/>
          <w:snapToGrid w:val="0"/>
          <w:color w:val="000000"/>
          <w:sz w:val="28"/>
          <w:szCs w:val="28"/>
        </w:rPr>
        <w:t>5.投标截止时间：北京时间</w:t>
      </w:r>
      <w:r>
        <w:rPr>
          <w:rFonts w:hint="eastAsia" w:ascii="宋体" w:hAnsi="宋体"/>
          <w:snapToGrid w:val="0"/>
          <w:color w:val="000000"/>
          <w:sz w:val="28"/>
          <w:szCs w:val="28"/>
          <w:lang w:val="en-US" w:eastAsia="zh-CN"/>
        </w:rPr>
        <w:t xml:space="preserve"> </w:t>
      </w:r>
      <w:r>
        <w:rPr>
          <w:rFonts w:hint="eastAsia" w:ascii="宋体" w:hAnsi="宋体"/>
          <w:snapToGrid w:val="0"/>
          <w:color w:val="000000"/>
          <w:sz w:val="28"/>
          <w:szCs w:val="28"/>
        </w:rPr>
        <w:t>20</w:t>
      </w:r>
      <w:r>
        <w:rPr>
          <w:rFonts w:hint="eastAsia" w:ascii="宋体" w:hAnsi="宋体"/>
          <w:snapToGrid w:val="0"/>
          <w:color w:val="000000"/>
          <w:sz w:val="28"/>
          <w:szCs w:val="28"/>
          <w:lang w:val="en-US" w:eastAsia="zh-CN"/>
        </w:rPr>
        <w:t>21</w:t>
      </w:r>
      <w:r>
        <w:rPr>
          <w:rFonts w:hint="eastAsia" w:ascii="宋体" w:hAnsi="宋体"/>
          <w:snapToGrid w:val="0"/>
          <w:color w:val="000000"/>
          <w:sz w:val="28"/>
          <w:szCs w:val="28"/>
        </w:rPr>
        <w:t>年</w:t>
      </w:r>
      <w:r>
        <w:rPr>
          <w:rFonts w:hint="eastAsia" w:ascii="宋体" w:hAnsi="宋体"/>
          <w:snapToGrid w:val="0"/>
          <w:color w:val="000000"/>
          <w:sz w:val="28"/>
          <w:szCs w:val="28"/>
          <w:lang w:val="en-US" w:eastAsia="zh-CN"/>
        </w:rPr>
        <w:t>8</w:t>
      </w:r>
      <w:r>
        <w:rPr>
          <w:rFonts w:hint="eastAsia" w:ascii="宋体" w:hAnsi="宋体"/>
          <w:snapToGrid w:val="0"/>
          <w:color w:val="000000"/>
          <w:sz w:val="28"/>
          <w:szCs w:val="28"/>
        </w:rPr>
        <w:t>月</w:t>
      </w:r>
      <w:r>
        <w:rPr>
          <w:rFonts w:hint="eastAsia" w:ascii="宋体" w:hAnsi="宋体"/>
          <w:snapToGrid w:val="0"/>
          <w:color w:val="000000"/>
          <w:sz w:val="28"/>
          <w:szCs w:val="28"/>
          <w:lang w:val="en-US" w:eastAsia="zh-CN"/>
        </w:rPr>
        <w:t>2</w:t>
      </w:r>
      <w:r>
        <w:rPr>
          <w:rFonts w:hint="eastAsia" w:ascii="宋体" w:hAnsi="宋体"/>
          <w:snapToGrid w:val="0"/>
          <w:color w:val="000000"/>
          <w:sz w:val="28"/>
          <w:szCs w:val="28"/>
        </w:rPr>
        <w:t xml:space="preserve">日 </w:t>
      </w:r>
    </w:p>
    <w:p>
      <w:pPr>
        <w:tabs>
          <w:tab w:val="left" w:pos="1260"/>
        </w:tabs>
        <w:autoSpaceDE w:val="0"/>
        <w:autoSpaceDN w:val="0"/>
        <w:adjustRightInd w:val="0"/>
        <w:jc w:val="left"/>
        <w:rPr>
          <w:rFonts w:ascii="宋体" w:hAnsi="宋体"/>
          <w:snapToGrid w:val="0"/>
          <w:color w:val="000000"/>
          <w:sz w:val="28"/>
          <w:szCs w:val="28"/>
        </w:rPr>
      </w:pPr>
      <w:r>
        <w:rPr>
          <w:rFonts w:hint="eastAsia" w:ascii="宋体" w:hAnsi="宋体"/>
          <w:snapToGrid w:val="0"/>
          <w:color w:val="000000"/>
          <w:sz w:val="28"/>
          <w:szCs w:val="28"/>
        </w:rPr>
        <w:t>6.招标人联系方式：</w:t>
      </w:r>
    </w:p>
    <w:p>
      <w:pPr>
        <w:widowControl/>
        <w:jc w:val="left"/>
        <w:rPr>
          <w:rFonts w:ascii="宋体" w:hAnsi="宋体" w:cs="宋体"/>
          <w:kern w:val="0"/>
          <w:sz w:val="28"/>
          <w:szCs w:val="28"/>
        </w:rPr>
      </w:pPr>
      <w:r>
        <w:rPr>
          <w:rFonts w:hint="eastAsia" w:ascii="宋体" w:hAnsi="宋体" w:cs="宋体"/>
          <w:kern w:val="0"/>
          <w:sz w:val="28"/>
          <w:szCs w:val="28"/>
        </w:rPr>
        <w:t>江苏常熟农村商业银行股份有限公司</w:t>
      </w:r>
    </w:p>
    <w:p>
      <w:pPr>
        <w:widowControl/>
        <w:jc w:val="left"/>
        <w:rPr>
          <w:rFonts w:ascii="宋体" w:hAnsi="宋体" w:cs="宋体"/>
          <w:kern w:val="0"/>
          <w:sz w:val="28"/>
          <w:szCs w:val="28"/>
        </w:rPr>
      </w:pPr>
      <w:r>
        <w:rPr>
          <w:rFonts w:hint="eastAsia" w:ascii="宋体" w:hAnsi="宋体" w:cs="宋体"/>
          <w:kern w:val="0"/>
          <w:sz w:val="28"/>
          <w:szCs w:val="28"/>
        </w:rPr>
        <w:t>地址：江苏省常熟市新世纪大道58号</w:t>
      </w:r>
    </w:p>
    <w:p>
      <w:pPr>
        <w:widowControl/>
        <w:jc w:val="left"/>
        <w:rPr>
          <w:rFonts w:ascii="宋体" w:hAnsi="宋体" w:cs="宋体"/>
          <w:kern w:val="0"/>
          <w:sz w:val="28"/>
          <w:szCs w:val="28"/>
        </w:rPr>
      </w:pPr>
      <w:r>
        <w:rPr>
          <w:rFonts w:hint="eastAsia" w:ascii="宋体" w:hAnsi="宋体" w:cs="宋体"/>
          <w:kern w:val="0"/>
          <w:sz w:val="28"/>
          <w:szCs w:val="28"/>
        </w:rPr>
        <w:t>邮政编码：215500</w:t>
      </w:r>
    </w:p>
    <w:p>
      <w:pPr>
        <w:widowControl/>
        <w:jc w:val="left"/>
        <w:rPr>
          <w:rFonts w:ascii="宋体" w:hAnsi="宋体" w:cs="宋体"/>
          <w:kern w:val="0"/>
          <w:sz w:val="28"/>
          <w:szCs w:val="28"/>
        </w:rPr>
      </w:pPr>
      <w:r>
        <w:rPr>
          <w:rFonts w:hint="eastAsia" w:ascii="宋体" w:hAnsi="宋体" w:cs="宋体"/>
          <w:kern w:val="0"/>
          <w:sz w:val="28"/>
          <w:szCs w:val="28"/>
        </w:rPr>
        <w:t>标书接收：陆志斌</w:t>
      </w:r>
    </w:p>
    <w:p>
      <w:pPr>
        <w:widowControl/>
        <w:jc w:val="left"/>
        <w:rPr>
          <w:rFonts w:ascii="宋体" w:hAnsi="宋体" w:cs="宋体"/>
          <w:kern w:val="0"/>
          <w:sz w:val="28"/>
          <w:szCs w:val="28"/>
        </w:rPr>
      </w:pPr>
      <w:r>
        <w:rPr>
          <w:rFonts w:hint="eastAsia" w:ascii="宋体" w:hAnsi="宋体" w:cs="宋体"/>
          <w:kern w:val="0"/>
          <w:sz w:val="28"/>
          <w:szCs w:val="28"/>
        </w:rPr>
        <w:t>电话号码：0512-52739210</w:t>
      </w:r>
    </w:p>
    <w:p>
      <w:pPr>
        <w:widowControl/>
        <w:jc w:val="left"/>
        <w:rPr>
          <w:rFonts w:ascii="宋体" w:hAnsi="宋体" w:cs="宋体"/>
          <w:kern w:val="0"/>
          <w:sz w:val="28"/>
          <w:szCs w:val="28"/>
        </w:rPr>
      </w:pPr>
      <w:r>
        <w:rPr>
          <w:rFonts w:hint="eastAsia" w:ascii="宋体" w:hAnsi="宋体" w:cs="宋体"/>
          <w:kern w:val="0"/>
          <w:sz w:val="28"/>
          <w:szCs w:val="28"/>
        </w:rPr>
        <w:t>技术联系人：钱慧</w:t>
      </w:r>
    </w:p>
    <w:p>
      <w:pPr>
        <w:widowControl/>
        <w:jc w:val="left"/>
        <w:rPr>
          <w:rFonts w:ascii="宋体" w:hAnsi="宋体" w:cs="宋体"/>
          <w:kern w:val="0"/>
          <w:sz w:val="28"/>
          <w:szCs w:val="28"/>
        </w:rPr>
      </w:pPr>
      <w:r>
        <w:rPr>
          <w:rFonts w:hint="eastAsia" w:ascii="宋体" w:hAnsi="宋体" w:cs="宋体"/>
          <w:kern w:val="0"/>
          <w:sz w:val="28"/>
          <w:szCs w:val="28"/>
        </w:rPr>
        <w:t>电话号码：0512-52738255</w:t>
      </w:r>
      <w:r>
        <w:rPr>
          <w:rFonts w:ascii="宋体" w:hAnsi="宋体" w:cs="宋体"/>
          <w:kern w:val="0"/>
          <w:sz w:val="28"/>
          <w:szCs w:val="28"/>
        </w:rPr>
        <w:tab/>
      </w:r>
    </w:p>
    <w:p>
      <w:pPr>
        <w:widowControl/>
        <w:jc w:val="left"/>
        <w:rPr>
          <w:rFonts w:ascii="宋体" w:hAnsi="宋体" w:cs="宋体"/>
          <w:kern w:val="0"/>
          <w:sz w:val="28"/>
          <w:szCs w:val="28"/>
        </w:rPr>
      </w:pPr>
    </w:p>
    <w:p>
      <w:pPr>
        <w:jc w:val="right"/>
        <w:rPr>
          <w:rFonts w:ascii="宋体" w:hAnsi="宋体"/>
          <w:snapToGrid w:val="0"/>
          <w:color w:val="000000"/>
          <w:sz w:val="28"/>
        </w:rPr>
      </w:pPr>
      <w:r>
        <w:rPr>
          <w:rFonts w:hint="eastAsia" w:ascii="宋体" w:hAnsi="宋体"/>
          <w:snapToGrid w:val="0"/>
          <w:color w:val="000000"/>
          <w:sz w:val="28"/>
        </w:rPr>
        <w:t>江苏常熟农村商业银行股份有限公司</w:t>
      </w:r>
    </w:p>
    <w:p>
      <w:pPr>
        <w:rPr>
          <w:rFonts w:ascii="宋体" w:hAnsi="宋体"/>
          <w:snapToGrid w:val="0"/>
          <w:color w:val="000000"/>
          <w:sz w:val="28"/>
        </w:rPr>
      </w:pPr>
    </w:p>
    <w:p>
      <w:pPr>
        <w:rPr>
          <w:rFonts w:ascii="宋体" w:hAnsi="宋体"/>
          <w:snapToGrid w:val="0"/>
          <w:color w:val="000000"/>
          <w:sz w:val="28"/>
        </w:rPr>
      </w:pPr>
    </w:p>
    <w:p>
      <w:pPr>
        <w:rPr>
          <w:rFonts w:ascii="宋体" w:hAnsi="宋体"/>
          <w:snapToGrid w:val="0"/>
          <w:color w:val="000000"/>
          <w:sz w:val="28"/>
        </w:rPr>
      </w:pPr>
    </w:p>
    <w:p>
      <w:pPr>
        <w:rPr>
          <w:rFonts w:ascii="宋体" w:hAnsi="宋体"/>
          <w:snapToGrid w:val="0"/>
          <w:color w:val="000000"/>
          <w:sz w:val="28"/>
        </w:rPr>
      </w:pPr>
    </w:p>
    <w:p>
      <w:pPr>
        <w:autoSpaceDE w:val="0"/>
        <w:autoSpaceDN w:val="0"/>
        <w:adjustRightInd w:val="0"/>
        <w:spacing w:line="640" w:lineRule="atLeast"/>
        <w:jc w:val="center"/>
        <w:rPr>
          <w:rFonts w:ascii="宋体" w:hAnsi="宋体"/>
          <w:b/>
          <w:color w:val="000000"/>
          <w:sz w:val="32"/>
          <w:szCs w:val="32"/>
        </w:rPr>
      </w:pPr>
      <w:r>
        <w:rPr>
          <w:rFonts w:hint="eastAsia" w:ascii="宋体" w:hAnsi="宋体"/>
          <w:b/>
          <w:color w:val="000000"/>
          <w:sz w:val="32"/>
          <w:szCs w:val="32"/>
        </w:rPr>
        <w:t>第二部分 招标产品清单</w:t>
      </w:r>
    </w:p>
    <w:p>
      <w:pPr>
        <w:spacing w:line="360" w:lineRule="auto"/>
        <w:ind w:firstLine="560" w:firstLineChars="200"/>
        <w:outlineLvl w:val="0"/>
        <w:rPr>
          <w:rFonts w:ascii="宋体" w:hAnsi="宋体"/>
          <w:kern w:val="0"/>
          <w:sz w:val="28"/>
          <w:szCs w:val="28"/>
        </w:rPr>
      </w:pPr>
    </w:p>
    <w:p>
      <w:pPr>
        <w:spacing w:line="360" w:lineRule="auto"/>
        <w:outlineLvl w:val="0"/>
        <w:rPr>
          <w:rFonts w:ascii="宋体" w:hAnsi="宋体"/>
          <w:snapToGrid w:val="0"/>
          <w:color w:val="000000"/>
          <w:sz w:val="28"/>
        </w:rPr>
      </w:pPr>
      <w:r>
        <w:rPr>
          <w:rFonts w:hint="eastAsia" w:ascii="宋体" w:hAnsi="宋体"/>
          <w:snapToGrid w:val="0"/>
          <w:color w:val="000000"/>
          <w:sz w:val="28"/>
        </w:rPr>
        <w:t xml:space="preserve">一、UPS电源     </w:t>
      </w:r>
    </w:p>
    <w:tbl>
      <w:tblPr>
        <w:tblStyle w:val="23"/>
        <w:tblW w:w="8013" w:type="dxa"/>
        <w:jc w:val="center"/>
        <w:tblInd w:w="-314" w:type="dxa"/>
        <w:tblLayout w:type="fixed"/>
        <w:tblCellMar>
          <w:top w:w="0" w:type="dxa"/>
          <w:left w:w="108" w:type="dxa"/>
          <w:bottom w:w="0" w:type="dxa"/>
          <w:right w:w="108" w:type="dxa"/>
        </w:tblCellMar>
      </w:tblPr>
      <w:tblGrid>
        <w:gridCol w:w="2759"/>
        <w:gridCol w:w="3194"/>
        <w:gridCol w:w="2060"/>
      </w:tblGrid>
      <w:tr>
        <w:tblPrEx>
          <w:tblLayout w:type="fixed"/>
          <w:tblCellMar>
            <w:top w:w="0" w:type="dxa"/>
            <w:left w:w="108" w:type="dxa"/>
            <w:bottom w:w="0" w:type="dxa"/>
            <w:right w:w="108" w:type="dxa"/>
          </w:tblCellMar>
        </w:tblPrEx>
        <w:trPr>
          <w:trHeight w:val="285" w:hRule="atLeast"/>
          <w:jc w:val="center"/>
        </w:trPr>
        <w:tc>
          <w:tcPr>
            <w:tcW w:w="2759" w:type="dxa"/>
            <w:tcBorders>
              <w:top w:val="single" w:color="auto" w:sz="4" w:space="0"/>
              <w:left w:val="single" w:color="auto" w:sz="4" w:space="0"/>
              <w:bottom w:val="single" w:color="auto" w:sz="4" w:space="0"/>
              <w:right w:val="single" w:color="auto" w:sz="4"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产品名称</w:t>
            </w:r>
          </w:p>
        </w:tc>
        <w:tc>
          <w:tcPr>
            <w:tcW w:w="3194" w:type="dxa"/>
            <w:tcBorders>
              <w:top w:val="single" w:color="auto" w:sz="8" w:space="0"/>
              <w:left w:val="single" w:color="auto" w:sz="4" w:space="0"/>
              <w:bottom w:val="single" w:color="auto" w:sz="4" w:space="0"/>
              <w:right w:val="single" w:color="auto" w:sz="8"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品牌</w:t>
            </w:r>
          </w:p>
        </w:tc>
        <w:tc>
          <w:tcPr>
            <w:tcW w:w="2060" w:type="dxa"/>
            <w:tcBorders>
              <w:top w:val="single" w:color="auto" w:sz="8" w:space="0"/>
              <w:left w:val="nil"/>
              <w:bottom w:val="single" w:color="auto" w:sz="4" w:space="0"/>
              <w:right w:val="single" w:color="auto" w:sz="8"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容量</w:t>
            </w:r>
          </w:p>
        </w:tc>
      </w:tr>
      <w:tr>
        <w:tblPrEx>
          <w:tblLayout w:type="fixed"/>
          <w:tblCellMar>
            <w:top w:w="0" w:type="dxa"/>
            <w:left w:w="108" w:type="dxa"/>
            <w:bottom w:w="0" w:type="dxa"/>
            <w:right w:w="108" w:type="dxa"/>
          </w:tblCellMar>
        </w:tblPrEx>
        <w:trPr>
          <w:trHeight w:val="285" w:hRule="atLeast"/>
          <w:jc w:val="center"/>
        </w:trPr>
        <w:tc>
          <w:tcPr>
            <w:tcW w:w="2759"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Cs w:val="20"/>
              </w:rPr>
              <w:t>UPS</w:t>
            </w:r>
          </w:p>
        </w:tc>
        <w:tc>
          <w:tcPr>
            <w:tcW w:w="3194" w:type="dxa"/>
            <w:vMerge w:val="restart"/>
            <w:tcBorders>
              <w:top w:val="single" w:color="auto" w:sz="4" w:space="0"/>
              <w:left w:val="single" w:color="auto" w:sz="4" w:space="0"/>
              <w:right w:val="single" w:color="auto" w:sz="4" w:space="0"/>
            </w:tcBorders>
            <w:vAlign w:val="center"/>
          </w:tcPr>
          <w:p>
            <w:pPr>
              <w:jc w:val="center"/>
              <w:rPr>
                <w:rFonts w:ascii="宋体" w:hAnsi="宋体" w:cs="宋体"/>
                <w:b/>
                <w:bCs/>
                <w:color w:val="000000"/>
                <w:kern w:val="0"/>
                <w:szCs w:val="21"/>
              </w:rPr>
            </w:pPr>
            <w:r>
              <w:rPr>
                <w:rFonts w:hint="eastAsia" w:ascii="宋体" w:hAnsi="宋体" w:cs="宋体"/>
                <w:b/>
                <w:bCs/>
                <w:color w:val="000000"/>
                <w:kern w:val="0"/>
                <w:szCs w:val="21"/>
              </w:rPr>
              <w:t>山特</w:t>
            </w: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1KVA</w:t>
            </w:r>
          </w:p>
        </w:tc>
      </w:tr>
      <w:tr>
        <w:tblPrEx>
          <w:tblLayout w:type="fixed"/>
          <w:tblCellMar>
            <w:top w:w="0" w:type="dxa"/>
            <w:left w:w="108" w:type="dxa"/>
            <w:bottom w:w="0" w:type="dxa"/>
            <w:right w:w="108" w:type="dxa"/>
          </w:tblCellMar>
        </w:tblPrEx>
        <w:trPr>
          <w:trHeight w:val="161" w:hRule="atLeast"/>
          <w:jc w:val="center"/>
        </w:trPr>
        <w:tc>
          <w:tcPr>
            <w:tcW w:w="2759" w:type="dxa"/>
            <w:vMerge w:val="continue"/>
            <w:tcBorders>
              <w:left w:val="single" w:color="auto" w:sz="4" w:space="0"/>
              <w:right w:val="single" w:color="auto" w:sz="4" w:space="0"/>
            </w:tcBorders>
            <w:vAlign w:val="center"/>
          </w:tcPr>
          <w:p>
            <w:pPr>
              <w:widowControl/>
              <w:jc w:val="left"/>
              <w:rPr>
                <w:rFonts w:ascii="宋体" w:hAnsi="宋体"/>
                <w:color w:val="000000"/>
                <w:kern w:val="0"/>
                <w:szCs w:val="21"/>
              </w:rPr>
            </w:pPr>
          </w:p>
        </w:tc>
        <w:tc>
          <w:tcPr>
            <w:tcW w:w="3194" w:type="dxa"/>
            <w:vMerge w:val="continue"/>
            <w:tcBorders>
              <w:left w:val="single" w:color="auto" w:sz="4" w:space="0"/>
              <w:right w:val="single" w:color="auto" w:sz="4" w:space="0"/>
            </w:tcBorders>
            <w:vAlign w:val="center"/>
          </w:tcPr>
          <w:p>
            <w:pPr>
              <w:jc w:val="center"/>
              <w:rPr>
                <w:rFonts w:ascii="宋体" w:hAnsi="宋体" w:cs="宋体"/>
                <w:b/>
                <w:bCs/>
                <w:color w:val="000000"/>
                <w:kern w:val="0"/>
                <w:szCs w:val="21"/>
              </w:rPr>
            </w:pP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lang w:val="en-US" w:eastAsia="zh-CN"/>
              </w:rPr>
              <w:t>3</w:t>
            </w:r>
            <w:r>
              <w:rPr>
                <w:rFonts w:hint="eastAsia" w:ascii="宋体" w:hAnsi="宋体" w:cs="宋体"/>
                <w:b/>
                <w:bCs/>
                <w:color w:val="000000"/>
                <w:kern w:val="0"/>
                <w:szCs w:val="21"/>
              </w:rPr>
              <w:t>KVA</w:t>
            </w:r>
          </w:p>
        </w:tc>
      </w:tr>
      <w:tr>
        <w:tblPrEx>
          <w:tblLayout w:type="fixed"/>
          <w:tblCellMar>
            <w:top w:w="0" w:type="dxa"/>
            <w:left w:w="108" w:type="dxa"/>
            <w:bottom w:w="0" w:type="dxa"/>
            <w:right w:w="108" w:type="dxa"/>
          </w:tblCellMar>
        </w:tblPrEx>
        <w:trPr>
          <w:trHeight w:val="161" w:hRule="atLeast"/>
          <w:jc w:val="center"/>
        </w:trPr>
        <w:tc>
          <w:tcPr>
            <w:tcW w:w="2759" w:type="dxa"/>
            <w:vMerge w:val="continue"/>
            <w:tcBorders>
              <w:left w:val="single" w:color="auto" w:sz="4" w:space="0"/>
              <w:right w:val="single" w:color="auto" w:sz="4" w:space="0"/>
            </w:tcBorders>
            <w:vAlign w:val="center"/>
          </w:tcPr>
          <w:p>
            <w:pPr>
              <w:widowControl/>
              <w:jc w:val="center"/>
            </w:pPr>
          </w:p>
        </w:tc>
        <w:tc>
          <w:tcPr>
            <w:tcW w:w="3194" w:type="dxa"/>
            <w:vMerge w:val="continue"/>
            <w:tcBorders>
              <w:left w:val="single" w:color="auto" w:sz="4" w:space="0"/>
              <w:right w:val="single" w:color="auto" w:sz="4" w:space="0"/>
            </w:tcBorders>
            <w:vAlign w:val="center"/>
          </w:tcPr>
          <w:p>
            <w:pPr>
              <w:widowControl/>
              <w:jc w:val="center"/>
            </w:pP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6KVA</w:t>
            </w:r>
          </w:p>
        </w:tc>
      </w:tr>
      <w:tr>
        <w:tblPrEx>
          <w:tblLayout w:type="fixed"/>
          <w:tblCellMar>
            <w:top w:w="0" w:type="dxa"/>
            <w:left w:w="108" w:type="dxa"/>
            <w:bottom w:w="0" w:type="dxa"/>
            <w:right w:w="108" w:type="dxa"/>
          </w:tblCellMar>
        </w:tblPrEx>
        <w:trPr>
          <w:trHeight w:val="158" w:hRule="atLeast"/>
          <w:jc w:val="center"/>
        </w:trPr>
        <w:tc>
          <w:tcPr>
            <w:tcW w:w="2759" w:type="dxa"/>
            <w:vMerge w:val="continue"/>
            <w:tcBorders>
              <w:left w:val="single" w:color="auto" w:sz="4" w:space="0"/>
              <w:right w:val="single" w:color="auto" w:sz="4" w:space="0"/>
            </w:tcBorders>
            <w:vAlign w:val="center"/>
          </w:tcPr>
          <w:p>
            <w:pPr>
              <w:widowControl/>
              <w:jc w:val="left"/>
              <w:rPr>
                <w:rFonts w:ascii="宋体" w:hAnsi="宋体"/>
                <w:color w:val="000000"/>
                <w:kern w:val="0"/>
                <w:szCs w:val="21"/>
              </w:rPr>
            </w:pPr>
          </w:p>
        </w:tc>
        <w:tc>
          <w:tcPr>
            <w:tcW w:w="3194" w:type="dxa"/>
            <w:vMerge w:val="continue"/>
            <w:tcBorders>
              <w:left w:val="single" w:color="auto" w:sz="4" w:space="0"/>
              <w:right w:val="single" w:color="auto" w:sz="4" w:space="0"/>
            </w:tcBorders>
            <w:vAlign w:val="center"/>
          </w:tcPr>
          <w:p>
            <w:pPr>
              <w:widowControl/>
              <w:jc w:val="center"/>
              <w:rPr>
                <w:rFonts w:ascii="宋体" w:hAnsi="宋体" w:cs="宋体"/>
                <w:b/>
                <w:bCs/>
                <w:color w:val="000000"/>
                <w:kern w:val="0"/>
                <w:szCs w:val="21"/>
              </w:rPr>
            </w:pP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10KVA</w:t>
            </w:r>
          </w:p>
        </w:tc>
      </w:tr>
      <w:tr>
        <w:tblPrEx>
          <w:tblLayout w:type="fixed"/>
          <w:tblCellMar>
            <w:top w:w="0" w:type="dxa"/>
            <w:left w:w="108" w:type="dxa"/>
            <w:bottom w:w="0" w:type="dxa"/>
            <w:right w:w="108" w:type="dxa"/>
          </w:tblCellMar>
        </w:tblPrEx>
        <w:trPr>
          <w:trHeight w:val="157" w:hRule="atLeast"/>
          <w:jc w:val="center"/>
        </w:trPr>
        <w:tc>
          <w:tcPr>
            <w:tcW w:w="2759" w:type="dxa"/>
            <w:vMerge w:val="continue"/>
            <w:tcBorders>
              <w:left w:val="single" w:color="auto" w:sz="4" w:space="0"/>
              <w:right w:val="single" w:color="auto" w:sz="4" w:space="0"/>
            </w:tcBorders>
            <w:vAlign w:val="center"/>
          </w:tcPr>
          <w:p>
            <w:pPr>
              <w:widowControl/>
              <w:jc w:val="left"/>
              <w:rPr>
                <w:rFonts w:ascii="宋体" w:hAnsi="宋体"/>
                <w:color w:val="000000"/>
                <w:kern w:val="0"/>
                <w:szCs w:val="21"/>
              </w:rPr>
            </w:pPr>
          </w:p>
        </w:tc>
        <w:tc>
          <w:tcPr>
            <w:tcW w:w="3194"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20KVA</w:t>
            </w:r>
          </w:p>
        </w:tc>
      </w:tr>
      <w:tr>
        <w:tblPrEx>
          <w:tblLayout w:type="fixed"/>
          <w:tblCellMar>
            <w:top w:w="0" w:type="dxa"/>
            <w:left w:w="108" w:type="dxa"/>
            <w:bottom w:w="0" w:type="dxa"/>
            <w:right w:w="108" w:type="dxa"/>
          </w:tblCellMar>
        </w:tblPrEx>
        <w:trPr>
          <w:trHeight w:val="158" w:hRule="atLeast"/>
          <w:jc w:val="center"/>
        </w:trPr>
        <w:tc>
          <w:tcPr>
            <w:tcW w:w="2759" w:type="dxa"/>
            <w:vMerge w:val="continue"/>
            <w:tcBorders>
              <w:left w:val="single" w:color="auto" w:sz="4" w:space="0"/>
              <w:right w:val="single" w:color="auto" w:sz="4" w:space="0"/>
            </w:tcBorders>
            <w:vAlign w:val="center"/>
          </w:tcPr>
          <w:p>
            <w:pPr>
              <w:widowControl/>
              <w:jc w:val="left"/>
              <w:rPr>
                <w:rFonts w:ascii="宋体" w:hAnsi="宋体"/>
                <w:color w:val="000000"/>
                <w:kern w:val="0"/>
                <w:szCs w:val="21"/>
              </w:rPr>
            </w:pPr>
          </w:p>
        </w:tc>
        <w:tc>
          <w:tcPr>
            <w:tcW w:w="319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爱普瑞斯</w:t>
            </w: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1KVA</w:t>
            </w:r>
          </w:p>
        </w:tc>
      </w:tr>
      <w:tr>
        <w:tblPrEx>
          <w:tblLayout w:type="fixed"/>
          <w:tblCellMar>
            <w:top w:w="0" w:type="dxa"/>
            <w:left w:w="108" w:type="dxa"/>
            <w:bottom w:w="0" w:type="dxa"/>
            <w:right w:w="108" w:type="dxa"/>
          </w:tblCellMar>
        </w:tblPrEx>
        <w:trPr>
          <w:trHeight w:val="161" w:hRule="atLeast"/>
          <w:jc w:val="center"/>
        </w:trPr>
        <w:tc>
          <w:tcPr>
            <w:tcW w:w="2759" w:type="dxa"/>
            <w:vMerge w:val="continue"/>
            <w:tcBorders>
              <w:left w:val="single" w:color="auto" w:sz="4" w:space="0"/>
              <w:right w:val="single" w:color="auto" w:sz="4" w:space="0"/>
            </w:tcBorders>
            <w:vAlign w:val="center"/>
          </w:tcPr>
          <w:p>
            <w:pPr>
              <w:widowControl/>
              <w:jc w:val="left"/>
              <w:rPr>
                <w:rFonts w:ascii="宋体" w:hAnsi="宋体"/>
                <w:color w:val="000000"/>
                <w:kern w:val="0"/>
                <w:szCs w:val="21"/>
              </w:rPr>
            </w:pPr>
          </w:p>
        </w:tc>
        <w:tc>
          <w:tcPr>
            <w:tcW w:w="3194" w:type="dxa"/>
            <w:vMerge w:val="continue"/>
            <w:tcBorders>
              <w:left w:val="single" w:color="auto" w:sz="4" w:space="0"/>
              <w:right w:val="single" w:color="auto" w:sz="4" w:space="0"/>
            </w:tcBorders>
            <w:vAlign w:val="center"/>
          </w:tcPr>
          <w:p>
            <w:pPr>
              <w:widowControl/>
              <w:jc w:val="center"/>
              <w:rPr>
                <w:rFonts w:ascii="宋体" w:hAnsi="宋体" w:cs="宋体"/>
                <w:b/>
                <w:bCs/>
                <w:color w:val="000000"/>
                <w:kern w:val="0"/>
                <w:szCs w:val="21"/>
              </w:rPr>
            </w:pP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lang w:val="en-US" w:eastAsia="zh-CN"/>
              </w:rPr>
              <w:t>3</w:t>
            </w:r>
            <w:r>
              <w:rPr>
                <w:rFonts w:hint="eastAsia" w:ascii="宋体" w:hAnsi="宋体" w:cs="宋体"/>
                <w:b/>
                <w:bCs/>
                <w:color w:val="000000"/>
                <w:kern w:val="0"/>
                <w:szCs w:val="21"/>
              </w:rPr>
              <w:t>KVA</w:t>
            </w:r>
          </w:p>
        </w:tc>
      </w:tr>
      <w:tr>
        <w:tblPrEx>
          <w:tblLayout w:type="fixed"/>
          <w:tblCellMar>
            <w:top w:w="0" w:type="dxa"/>
            <w:left w:w="108" w:type="dxa"/>
            <w:bottom w:w="0" w:type="dxa"/>
            <w:right w:w="108" w:type="dxa"/>
          </w:tblCellMar>
        </w:tblPrEx>
        <w:trPr>
          <w:trHeight w:val="161" w:hRule="atLeast"/>
          <w:jc w:val="center"/>
        </w:trPr>
        <w:tc>
          <w:tcPr>
            <w:tcW w:w="2759" w:type="dxa"/>
            <w:vMerge w:val="continue"/>
            <w:tcBorders>
              <w:left w:val="single" w:color="auto" w:sz="4" w:space="0"/>
              <w:right w:val="single" w:color="auto" w:sz="4" w:space="0"/>
            </w:tcBorders>
            <w:vAlign w:val="center"/>
          </w:tcPr>
          <w:p>
            <w:pPr>
              <w:widowControl/>
              <w:jc w:val="center"/>
            </w:pPr>
          </w:p>
        </w:tc>
        <w:tc>
          <w:tcPr>
            <w:tcW w:w="3194" w:type="dxa"/>
            <w:vMerge w:val="continue"/>
            <w:tcBorders>
              <w:left w:val="single" w:color="auto" w:sz="4" w:space="0"/>
              <w:right w:val="single" w:color="auto" w:sz="4" w:space="0"/>
            </w:tcBorders>
            <w:vAlign w:val="center"/>
          </w:tcPr>
          <w:p>
            <w:pPr>
              <w:widowControl/>
              <w:jc w:val="center"/>
            </w:pP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lang w:val="en-US" w:eastAsia="zh-CN"/>
              </w:rPr>
              <w:t>6</w:t>
            </w:r>
            <w:r>
              <w:rPr>
                <w:rFonts w:hint="eastAsia" w:ascii="宋体" w:hAnsi="宋体" w:cs="宋体"/>
                <w:b/>
                <w:bCs/>
                <w:color w:val="000000"/>
                <w:kern w:val="0"/>
                <w:szCs w:val="21"/>
              </w:rPr>
              <w:t>KVA</w:t>
            </w:r>
          </w:p>
        </w:tc>
      </w:tr>
      <w:tr>
        <w:tblPrEx>
          <w:tblLayout w:type="fixed"/>
          <w:tblCellMar>
            <w:top w:w="0" w:type="dxa"/>
            <w:left w:w="108" w:type="dxa"/>
            <w:bottom w:w="0" w:type="dxa"/>
            <w:right w:w="108" w:type="dxa"/>
          </w:tblCellMar>
        </w:tblPrEx>
        <w:trPr>
          <w:trHeight w:val="285" w:hRule="atLeast"/>
          <w:jc w:val="center"/>
        </w:trPr>
        <w:tc>
          <w:tcPr>
            <w:tcW w:w="2759" w:type="dxa"/>
            <w:vMerge w:val="continue"/>
            <w:tcBorders>
              <w:left w:val="single" w:color="auto" w:sz="4" w:space="0"/>
              <w:right w:val="single" w:color="auto" w:sz="4" w:space="0"/>
            </w:tcBorders>
            <w:vAlign w:val="center"/>
          </w:tcPr>
          <w:p>
            <w:pPr>
              <w:widowControl/>
              <w:jc w:val="left"/>
              <w:rPr>
                <w:rFonts w:ascii="宋体" w:hAnsi="宋体"/>
                <w:color w:val="000000"/>
                <w:kern w:val="0"/>
                <w:szCs w:val="21"/>
              </w:rPr>
            </w:pPr>
          </w:p>
        </w:tc>
        <w:tc>
          <w:tcPr>
            <w:tcW w:w="3194" w:type="dxa"/>
            <w:vMerge w:val="continue"/>
            <w:tcBorders>
              <w:left w:val="single" w:color="auto" w:sz="4" w:space="0"/>
              <w:right w:val="single" w:color="auto" w:sz="4" w:space="0"/>
            </w:tcBorders>
            <w:vAlign w:val="center"/>
          </w:tcPr>
          <w:p>
            <w:pPr>
              <w:jc w:val="center"/>
              <w:rPr>
                <w:rFonts w:ascii="宋体" w:hAnsi="宋体" w:cs="宋体"/>
                <w:b/>
                <w:bCs/>
                <w:color w:val="000000"/>
                <w:kern w:val="0"/>
                <w:szCs w:val="21"/>
              </w:rPr>
            </w:pP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10KVA</w:t>
            </w:r>
          </w:p>
        </w:tc>
      </w:tr>
      <w:tr>
        <w:tblPrEx>
          <w:tblLayout w:type="fixed"/>
          <w:tblCellMar>
            <w:top w:w="0" w:type="dxa"/>
            <w:left w:w="108" w:type="dxa"/>
            <w:bottom w:w="0" w:type="dxa"/>
            <w:right w:w="108" w:type="dxa"/>
          </w:tblCellMar>
        </w:tblPrEx>
        <w:trPr>
          <w:trHeight w:val="285" w:hRule="atLeast"/>
          <w:jc w:val="center"/>
        </w:trPr>
        <w:tc>
          <w:tcPr>
            <w:tcW w:w="2759" w:type="dxa"/>
            <w:vMerge w:val="continue"/>
            <w:tcBorders>
              <w:left w:val="single" w:color="auto" w:sz="4" w:space="0"/>
              <w:right w:val="single" w:color="auto" w:sz="4" w:space="0"/>
            </w:tcBorders>
            <w:vAlign w:val="center"/>
          </w:tcPr>
          <w:p>
            <w:pPr>
              <w:widowControl/>
              <w:jc w:val="left"/>
              <w:rPr>
                <w:rFonts w:ascii="宋体" w:hAnsi="宋体"/>
                <w:color w:val="000000"/>
                <w:kern w:val="0"/>
                <w:szCs w:val="21"/>
              </w:rPr>
            </w:pPr>
          </w:p>
        </w:tc>
        <w:tc>
          <w:tcPr>
            <w:tcW w:w="3194"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20KVA</w:t>
            </w:r>
          </w:p>
        </w:tc>
      </w:tr>
      <w:tr>
        <w:tblPrEx>
          <w:tblLayout w:type="fixed"/>
          <w:tblCellMar>
            <w:top w:w="0" w:type="dxa"/>
            <w:left w:w="108" w:type="dxa"/>
            <w:bottom w:w="0" w:type="dxa"/>
            <w:right w:w="108" w:type="dxa"/>
          </w:tblCellMar>
        </w:tblPrEx>
        <w:trPr>
          <w:trHeight w:val="161" w:hRule="atLeast"/>
          <w:jc w:val="center"/>
        </w:trPr>
        <w:tc>
          <w:tcPr>
            <w:tcW w:w="2759" w:type="dxa"/>
            <w:vMerge w:val="continue"/>
            <w:tcBorders>
              <w:left w:val="single" w:color="auto" w:sz="4" w:space="0"/>
              <w:right w:val="single" w:color="auto" w:sz="4" w:space="0"/>
            </w:tcBorders>
            <w:vAlign w:val="center"/>
          </w:tcPr>
          <w:p>
            <w:pPr>
              <w:widowControl/>
              <w:jc w:val="left"/>
              <w:rPr>
                <w:rFonts w:ascii="宋体" w:hAnsi="宋体"/>
                <w:color w:val="000000"/>
                <w:kern w:val="0"/>
                <w:szCs w:val="21"/>
              </w:rPr>
            </w:pPr>
          </w:p>
        </w:tc>
        <w:tc>
          <w:tcPr>
            <w:tcW w:w="319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科华</w:t>
            </w: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1KVA</w:t>
            </w:r>
          </w:p>
        </w:tc>
      </w:tr>
      <w:tr>
        <w:tblPrEx>
          <w:tblLayout w:type="fixed"/>
          <w:tblCellMar>
            <w:top w:w="0" w:type="dxa"/>
            <w:left w:w="108" w:type="dxa"/>
            <w:bottom w:w="0" w:type="dxa"/>
            <w:right w:w="108" w:type="dxa"/>
          </w:tblCellMar>
        </w:tblPrEx>
        <w:trPr>
          <w:trHeight w:val="161" w:hRule="atLeast"/>
          <w:jc w:val="center"/>
        </w:trPr>
        <w:tc>
          <w:tcPr>
            <w:tcW w:w="2759" w:type="dxa"/>
            <w:vMerge w:val="continue"/>
            <w:tcBorders>
              <w:left w:val="single" w:color="auto" w:sz="4" w:space="0"/>
              <w:right w:val="single" w:color="auto" w:sz="4" w:space="0"/>
            </w:tcBorders>
            <w:vAlign w:val="center"/>
          </w:tcPr>
          <w:p>
            <w:pPr>
              <w:widowControl/>
              <w:jc w:val="center"/>
            </w:pPr>
          </w:p>
        </w:tc>
        <w:tc>
          <w:tcPr>
            <w:tcW w:w="3194" w:type="dxa"/>
            <w:vMerge w:val="continue"/>
            <w:tcBorders>
              <w:left w:val="single" w:color="auto" w:sz="4" w:space="0"/>
              <w:right w:val="single" w:color="auto" w:sz="4" w:space="0"/>
            </w:tcBorders>
            <w:vAlign w:val="center"/>
          </w:tcPr>
          <w:p>
            <w:pPr>
              <w:widowControl/>
              <w:jc w:val="center"/>
            </w:pP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lang w:val="en-US" w:eastAsia="zh-CN"/>
              </w:rPr>
              <w:t>3</w:t>
            </w:r>
            <w:r>
              <w:rPr>
                <w:rFonts w:hint="eastAsia" w:ascii="宋体" w:hAnsi="宋体" w:cs="宋体"/>
                <w:b/>
                <w:bCs/>
                <w:color w:val="000000"/>
                <w:kern w:val="0"/>
                <w:szCs w:val="21"/>
              </w:rPr>
              <w:t>KVA</w:t>
            </w:r>
          </w:p>
        </w:tc>
      </w:tr>
      <w:tr>
        <w:tblPrEx>
          <w:tblLayout w:type="fixed"/>
          <w:tblCellMar>
            <w:top w:w="0" w:type="dxa"/>
            <w:left w:w="108" w:type="dxa"/>
            <w:bottom w:w="0" w:type="dxa"/>
            <w:right w:w="108" w:type="dxa"/>
          </w:tblCellMar>
        </w:tblPrEx>
        <w:trPr>
          <w:trHeight w:val="157" w:hRule="atLeast"/>
          <w:jc w:val="center"/>
        </w:trPr>
        <w:tc>
          <w:tcPr>
            <w:tcW w:w="2759" w:type="dxa"/>
            <w:vMerge w:val="continue"/>
            <w:tcBorders>
              <w:left w:val="single" w:color="auto" w:sz="4" w:space="0"/>
              <w:right w:val="single" w:color="auto" w:sz="4" w:space="0"/>
            </w:tcBorders>
            <w:vAlign w:val="center"/>
          </w:tcPr>
          <w:p>
            <w:pPr>
              <w:widowControl/>
              <w:jc w:val="left"/>
              <w:rPr>
                <w:rFonts w:ascii="宋体" w:hAnsi="宋体"/>
                <w:color w:val="000000"/>
                <w:kern w:val="0"/>
                <w:szCs w:val="21"/>
              </w:rPr>
            </w:pPr>
          </w:p>
        </w:tc>
        <w:tc>
          <w:tcPr>
            <w:tcW w:w="3194" w:type="dxa"/>
            <w:vMerge w:val="continue"/>
            <w:tcBorders>
              <w:left w:val="single" w:color="auto" w:sz="4" w:space="0"/>
              <w:right w:val="single" w:color="auto" w:sz="4" w:space="0"/>
            </w:tcBorders>
            <w:vAlign w:val="center"/>
          </w:tcPr>
          <w:p>
            <w:pPr>
              <w:widowControl/>
              <w:jc w:val="center"/>
              <w:rPr>
                <w:rFonts w:ascii="宋体" w:hAnsi="宋体" w:cs="宋体"/>
                <w:b/>
                <w:bCs/>
                <w:color w:val="000000"/>
                <w:kern w:val="0"/>
                <w:szCs w:val="21"/>
              </w:rPr>
            </w:pP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6KVA</w:t>
            </w:r>
          </w:p>
        </w:tc>
      </w:tr>
      <w:tr>
        <w:tblPrEx>
          <w:tblLayout w:type="fixed"/>
          <w:tblCellMar>
            <w:top w:w="0" w:type="dxa"/>
            <w:left w:w="108" w:type="dxa"/>
            <w:bottom w:w="0" w:type="dxa"/>
            <w:right w:w="108" w:type="dxa"/>
          </w:tblCellMar>
        </w:tblPrEx>
        <w:trPr>
          <w:trHeight w:val="285" w:hRule="atLeast"/>
          <w:jc w:val="center"/>
        </w:trPr>
        <w:tc>
          <w:tcPr>
            <w:tcW w:w="2759" w:type="dxa"/>
            <w:vMerge w:val="continue"/>
            <w:tcBorders>
              <w:left w:val="single" w:color="auto" w:sz="4" w:space="0"/>
              <w:right w:val="single" w:color="auto" w:sz="4" w:space="0"/>
            </w:tcBorders>
            <w:vAlign w:val="center"/>
          </w:tcPr>
          <w:p>
            <w:pPr>
              <w:widowControl/>
              <w:jc w:val="left"/>
              <w:rPr>
                <w:rFonts w:ascii="宋体" w:hAnsi="宋体"/>
                <w:color w:val="000000"/>
                <w:kern w:val="0"/>
                <w:szCs w:val="21"/>
              </w:rPr>
            </w:pPr>
          </w:p>
        </w:tc>
        <w:tc>
          <w:tcPr>
            <w:tcW w:w="3194" w:type="dxa"/>
            <w:vMerge w:val="continue"/>
            <w:tcBorders>
              <w:left w:val="single" w:color="auto" w:sz="4" w:space="0"/>
              <w:right w:val="single" w:color="auto" w:sz="4" w:space="0"/>
            </w:tcBorders>
            <w:vAlign w:val="center"/>
          </w:tcPr>
          <w:p>
            <w:pPr>
              <w:jc w:val="center"/>
              <w:rPr>
                <w:rFonts w:ascii="宋体" w:hAnsi="宋体" w:cs="宋体"/>
                <w:b/>
                <w:bCs/>
                <w:color w:val="000000"/>
                <w:kern w:val="0"/>
                <w:szCs w:val="21"/>
              </w:rPr>
            </w:pP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10KVA</w:t>
            </w:r>
          </w:p>
        </w:tc>
      </w:tr>
      <w:tr>
        <w:tblPrEx>
          <w:tblLayout w:type="fixed"/>
          <w:tblCellMar>
            <w:top w:w="0" w:type="dxa"/>
            <w:left w:w="108" w:type="dxa"/>
            <w:bottom w:w="0" w:type="dxa"/>
            <w:right w:w="108" w:type="dxa"/>
          </w:tblCellMar>
        </w:tblPrEx>
        <w:trPr>
          <w:trHeight w:val="285" w:hRule="atLeast"/>
          <w:jc w:val="center"/>
        </w:trPr>
        <w:tc>
          <w:tcPr>
            <w:tcW w:w="2759"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Cs w:val="21"/>
              </w:rPr>
            </w:pPr>
          </w:p>
        </w:tc>
        <w:tc>
          <w:tcPr>
            <w:tcW w:w="3194"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20KVA</w:t>
            </w:r>
          </w:p>
        </w:tc>
      </w:tr>
    </w:tbl>
    <w:p>
      <w:pPr>
        <w:spacing w:line="360" w:lineRule="auto"/>
        <w:outlineLvl w:val="0"/>
        <w:rPr>
          <w:rFonts w:ascii="宋体" w:hAnsi="宋体"/>
          <w:snapToGrid w:val="0"/>
          <w:color w:val="000000"/>
          <w:sz w:val="28"/>
        </w:rPr>
      </w:pPr>
    </w:p>
    <w:p>
      <w:pPr>
        <w:spacing w:line="360" w:lineRule="auto"/>
        <w:outlineLvl w:val="0"/>
        <w:rPr>
          <w:rFonts w:ascii="宋体" w:hAnsi="宋体"/>
          <w:snapToGrid w:val="0"/>
          <w:color w:val="000000"/>
          <w:sz w:val="28"/>
        </w:rPr>
      </w:pPr>
      <w:r>
        <w:rPr>
          <w:rFonts w:hint="eastAsia" w:ascii="宋体" w:hAnsi="宋体"/>
          <w:snapToGrid w:val="0"/>
          <w:color w:val="000000"/>
          <w:sz w:val="28"/>
        </w:rPr>
        <w:t>二、蓄电池、铁箱</w:t>
      </w:r>
    </w:p>
    <w:tbl>
      <w:tblPr>
        <w:tblStyle w:val="23"/>
        <w:tblW w:w="7946" w:type="dxa"/>
        <w:jc w:val="center"/>
        <w:tblInd w:w="-247" w:type="dxa"/>
        <w:tblLayout w:type="fixed"/>
        <w:tblCellMar>
          <w:top w:w="0" w:type="dxa"/>
          <w:left w:w="108" w:type="dxa"/>
          <w:bottom w:w="0" w:type="dxa"/>
          <w:right w:w="108" w:type="dxa"/>
        </w:tblCellMar>
      </w:tblPr>
      <w:tblGrid>
        <w:gridCol w:w="2692"/>
        <w:gridCol w:w="3194"/>
        <w:gridCol w:w="2060"/>
      </w:tblGrid>
      <w:tr>
        <w:tblPrEx>
          <w:tblLayout w:type="fixed"/>
          <w:tblCellMar>
            <w:top w:w="0" w:type="dxa"/>
            <w:left w:w="108" w:type="dxa"/>
            <w:bottom w:w="0" w:type="dxa"/>
            <w:right w:w="108" w:type="dxa"/>
          </w:tblCellMar>
        </w:tblPrEx>
        <w:trPr>
          <w:trHeight w:val="285" w:hRule="atLeast"/>
          <w:jc w:val="center"/>
        </w:trPr>
        <w:tc>
          <w:tcPr>
            <w:tcW w:w="2692" w:type="dxa"/>
            <w:tcBorders>
              <w:top w:val="single" w:color="auto" w:sz="4" w:space="0"/>
              <w:left w:val="single" w:color="auto" w:sz="4" w:space="0"/>
              <w:bottom w:val="single" w:color="auto" w:sz="4" w:space="0"/>
              <w:right w:val="single" w:color="auto" w:sz="4"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产品名称</w:t>
            </w:r>
          </w:p>
        </w:tc>
        <w:tc>
          <w:tcPr>
            <w:tcW w:w="3194" w:type="dxa"/>
            <w:tcBorders>
              <w:top w:val="single" w:color="auto" w:sz="8" w:space="0"/>
              <w:left w:val="single" w:color="auto" w:sz="4" w:space="0"/>
              <w:bottom w:val="single" w:color="auto" w:sz="4" w:space="0"/>
              <w:right w:val="single" w:color="auto" w:sz="8"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品牌</w:t>
            </w:r>
          </w:p>
        </w:tc>
        <w:tc>
          <w:tcPr>
            <w:tcW w:w="2060" w:type="dxa"/>
            <w:tcBorders>
              <w:top w:val="single" w:color="auto" w:sz="8" w:space="0"/>
              <w:left w:val="nil"/>
              <w:bottom w:val="single" w:color="auto" w:sz="4" w:space="0"/>
              <w:right w:val="single" w:color="auto" w:sz="8"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容量</w:t>
            </w:r>
          </w:p>
        </w:tc>
      </w:tr>
      <w:tr>
        <w:tblPrEx>
          <w:tblLayout w:type="fixed"/>
          <w:tblCellMar>
            <w:top w:w="0" w:type="dxa"/>
            <w:left w:w="108" w:type="dxa"/>
            <w:bottom w:w="0" w:type="dxa"/>
            <w:right w:w="108" w:type="dxa"/>
          </w:tblCellMar>
        </w:tblPrEx>
        <w:trPr>
          <w:trHeight w:val="285" w:hRule="atLeast"/>
          <w:jc w:val="center"/>
        </w:trPr>
        <w:tc>
          <w:tcPr>
            <w:tcW w:w="26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Cs w:val="20"/>
              </w:rPr>
            </w:pPr>
            <w:r>
              <w:rPr>
                <w:rFonts w:hint="eastAsia" w:ascii="宋体" w:hAnsi="宋体" w:cs="宋体"/>
                <w:color w:val="000000"/>
                <w:kern w:val="0"/>
                <w:szCs w:val="20"/>
              </w:rPr>
              <w:t>蓄电池</w:t>
            </w:r>
          </w:p>
        </w:tc>
        <w:tc>
          <w:tcPr>
            <w:tcW w:w="31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eastAsia="zh-CN"/>
              </w:rPr>
              <w:t>西恩迪</w:t>
            </w: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100AH</w:t>
            </w:r>
          </w:p>
        </w:tc>
      </w:tr>
      <w:tr>
        <w:tblPrEx>
          <w:tblLayout w:type="fixed"/>
          <w:tblCellMar>
            <w:top w:w="0" w:type="dxa"/>
            <w:left w:w="108" w:type="dxa"/>
            <w:bottom w:w="0" w:type="dxa"/>
            <w:right w:w="108" w:type="dxa"/>
          </w:tblCellMar>
        </w:tblPrEx>
        <w:trPr>
          <w:trHeight w:val="285" w:hRule="atLeast"/>
          <w:jc w:val="center"/>
        </w:trPr>
        <w:tc>
          <w:tcPr>
            <w:tcW w:w="26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Cs w:val="21"/>
              </w:rPr>
            </w:pPr>
          </w:p>
        </w:tc>
        <w:tc>
          <w:tcPr>
            <w:tcW w:w="31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南都</w:t>
            </w: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100AH</w:t>
            </w:r>
          </w:p>
        </w:tc>
      </w:tr>
      <w:tr>
        <w:tblPrEx>
          <w:tblLayout w:type="fixed"/>
          <w:tblCellMar>
            <w:top w:w="0" w:type="dxa"/>
            <w:left w:w="108" w:type="dxa"/>
            <w:bottom w:w="0" w:type="dxa"/>
            <w:right w:w="108" w:type="dxa"/>
          </w:tblCellMar>
        </w:tblPrEx>
        <w:trPr>
          <w:trHeight w:val="285" w:hRule="atLeast"/>
          <w:jc w:val="center"/>
        </w:trPr>
        <w:tc>
          <w:tcPr>
            <w:tcW w:w="26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Cs w:val="20"/>
              </w:rPr>
            </w:pPr>
            <w:r>
              <w:rPr>
                <w:rFonts w:hint="eastAsia" w:ascii="宋体" w:hAnsi="宋体" w:cs="宋体"/>
                <w:color w:val="000000"/>
                <w:kern w:val="0"/>
                <w:szCs w:val="20"/>
              </w:rPr>
              <w:t>电池柜</w:t>
            </w:r>
          </w:p>
        </w:tc>
        <w:tc>
          <w:tcPr>
            <w:tcW w:w="319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不指定</w:t>
            </w: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20节</w:t>
            </w:r>
          </w:p>
        </w:tc>
      </w:tr>
      <w:tr>
        <w:tblPrEx>
          <w:tblLayout w:type="fixed"/>
          <w:tblCellMar>
            <w:top w:w="0" w:type="dxa"/>
            <w:left w:w="108" w:type="dxa"/>
            <w:bottom w:w="0" w:type="dxa"/>
            <w:right w:w="108" w:type="dxa"/>
          </w:tblCellMar>
        </w:tblPrEx>
        <w:trPr>
          <w:trHeight w:val="285" w:hRule="atLeast"/>
          <w:jc w:val="center"/>
        </w:trPr>
        <w:tc>
          <w:tcPr>
            <w:tcW w:w="26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0"/>
                <w:szCs w:val="20"/>
              </w:rPr>
            </w:pPr>
          </w:p>
        </w:tc>
        <w:tc>
          <w:tcPr>
            <w:tcW w:w="3194"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16节</w:t>
            </w:r>
          </w:p>
        </w:tc>
      </w:tr>
    </w:tbl>
    <w:p>
      <w:pPr>
        <w:spacing w:line="360" w:lineRule="auto"/>
        <w:outlineLvl w:val="0"/>
        <w:rPr>
          <w:rFonts w:ascii="宋体" w:hAnsi="宋体"/>
          <w:snapToGrid w:val="0"/>
          <w:color w:val="000000"/>
          <w:sz w:val="28"/>
        </w:rPr>
      </w:pPr>
    </w:p>
    <w:p>
      <w:pPr>
        <w:spacing w:line="360" w:lineRule="auto"/>
        <w:outlineLvl w:val="0"/>
        <w:rPr>
          <w:rFonts w:hint="eastAsia" w:ascii="宋体" w:hAnsi="宋体"/>
          <w:b/>
          <w:snapToGrid w:val="0"/>
          <w:color w:val="000000"/>
          <w:sz w:val="24"/>
        </w:rPr>
      </w:pPr>
    </w:p>
    <w:p>
      <w:pPr>
        <w:spacing w:line="360" w:lineRule="auto"/>
        <w:outlineLvl w:val="0"/>
        <w:rPr>
          <w:rFonts w:hint="eastAsia" w:ascii="宋体" w:hAnsi="宋体"/>
          <w:b/>
          <w:snapToGrid w:val="0"/>
          <w:color w:val="000000"/>
          <w:sz w:val="24"/>
        </w:rPr>
      </w:pPr>
    </w:p>
    <w:p>
      <w:pPr>
        <w:spacing w:line="360" w:lineRule="auto"/>
        <w:outlineLvl w:val="0"/>
        <w:rPr>
          <w:rFonts w:hint="eastAsia" w:ascii="宋体" w:hAnsi="宋体"/>
          <w:b/>
          <w:snapToGrid w:val="0"/>
          <w:color w:val="000000"/>
          <w:sz w:val="24"/>
        </w:rPr>
      </w:pPr>
    </w:p>
    <w:p>
      <w:pPr>
        <w:spacing w:line="360" w:lineRule="auto"/>
        <w:outlineLvl w:val="0"/>
        <w:rPr>
          <w:rFonts w:hint="eastAsia" w:ascii="宋体" w:hAnsi="宋体"/>
          <w:b/>
          <w:snapToGrid w:val="0"/>
          <w:color w:val="000000"/>
          <w:sz w:val="24"/>
        </w:rPr>
      </w:pPr>
    </w:p>
    <w:p>
      <w:pPr>
        <w:spacing w:line="360" w:lineRule="auto"/>
        <w:outlineLvl w:val="0"/>
        <w:rPr>
          <w:rFonts w:hint="eastAsia" w:ascii="宋体" w:hAnsi="宋体"/>
          <w:b/>
          <w:snapToGrid w:val="0"/>
          <w:color w:val="000000"/>
          <w:sz w:val="24"/>
        </w:rPr>
      </w:pPr>
    </w:p>
    <w:p>
      <w:pPr>
        <w:spacing w:line="360" w:lineRule="auto"/>
        <w:outlineLvl w:val="0"/>
        <w:rPr>
          <w:rFonts w:ascii="宋体" w:hAnsi="宋体"/>
          <w:snapToGrid w:val="0"/>
          <w:color w:val="000000"/>
          <w:sz w:val="28"/>
        </w:rPr>
      </w:pPr>
    </w:p>
    <w:p/>
    <w:p>
      <w:pPr>
        <w:spacing w:line="360" w:lineRule="auto"/>
        <w:ind w:firstLine="643" w:firstLineChars="200"/>
        <w:jc w:val="center"/>
        <w:outlineLvl w:val="0"/>
        <w:rPr>
          <w:rFonts w:ascii="宋体" w:hAnsi="宋体"/>
          <w:b/>
          <w:color w:val="000000"/>
          <w:sz w:val="32"/>
          <w:szCs w:val="32"/>
        </w:rPr>
      </w:pPr>
      <w:r>
        <w:rPr>
          <w:rFonts w:hint="eastAsia" w:ascii="宋体" w:hAnsi="宋体"/>
          <w:b/>
          <w:color w:val="000000"/>
          <w:sz w:val="32"/>
          <w:szCs w:val="32"/>
        </w:rPr>
        <w:t>第三部分</w:t>
      </w:r>
      <w:bookmarkStart w:id="0" w:name="招标项目要求"/>
      <w:bookmarkEnd w:id="0"/>
      <w:r>
        <w:rPr>
          <w:rFonts w:hint="eastAsia" w:ascii="宋体" w:hAnsi="宋体"/>
          <w:b/>
          <w:color w:val="000000"/>
          <w:sz w:val="32"/>
          <w:szCs w:val="32"/>
        </w:rPr>
        <w:t xml:space="preserve"> 申请人资格要求</w:t>
      </w:r>
    </w:p>
    <w:p>
      <w:pPr>
        <w:spacing w:line="360" w:lineRule="auto"/>
        <w:rPr>
          <w:rFonts w:ascii="宋体" w:hAnsi="宋体"/>
          <w:sz w:val="28"/>
          <w:szCs w:val="28"/>
        </w:rPr>
      </w:pPr>
      <w:r>
        <w:rPr>
          <w:rFonts w:hint="eastAsia" w:ascii="宋体" w:hAnsi="宋体"/>
          <w:sz w:val="28"/>
          <w:szCs w:val="28"/>
        </w:rPr>
        <w:t>1.1凡具备承担本招标项目合法注册的独立法人,符合以下条件：</w:t>
      </w:r>
    </w:p>
    <w:p>
      <w:pPr>
        <w:spacing w:line="360" w:lineRule="auto"/>
        <w:ind w:firstLine="560" w:firstLineChars="200"/>
        <w:rPr>
          <w:rFonts w:ascii="宋体" w:hAnsi="宋体"/>
          <w:sz w:val="28"/>
          <w:szCs w:val="28"/>
        </w:rPr>
      </w:pPr>
      <w:r>
        <w:rPr>
          <w:rFonts w:hint="eastAsia" w:ascii="宋体" w:hAnsi="宋体"/>
          <w:sz w:val="28"/>
          <w:szCs w:val="28"/>
        </w:rPr>
        <w:t>要求注册资金不少于</w:t>
      </w:r>
      <w:r>
        <w:rPr>
          <w:rFonts w:ascii="宋体" w:hAnsi="宋体"/>
          <w:sz w:val="28"/>
          <w:szCs w:val="28"/>
        </w:rPr>
        <w:t>2</w:t>
      </w:r>
      <w:r>
        <w:rPr>
          <w:rFonts w:hint="eastAsia" w:ascii="宋体" w:hAnsi="宋体"/>
          <w:sz w:val="28"/>
          <w:szCs w:val="28"/>
        </w:rPr>
        <w:t>00万元人民币（或等值外币），注册时间不少于1年；或注册资金不少于</w:t>
      </w:r>
      <w:r>
        <w:rPr>
          <w:rFonts w:ascii="宋体" w:hAnsi="宋体"/>
          <w:sz w:val="28"/>
          <w:szCs w:val="28"/>
        </w:rPr>
        <w:t>100</w:t>
      </w:r>
      <w:r>
        <w:rPr>
          <w:rFonts w:hint="eastAsia" w:ascii="宋体" w:hAnsi="宋体"/>
          <w:sz w:val="28"/>
          <w:szCs w:val="28"/>
        </w:rPr>
        <w:t>万元人民币（或等值外币），注册时间不少于3年。提供经年检的营业执照副本的复印件</w:t>
      </w:r>
      <w:r>
        <w:rPr>
          <w:rFonts w:hint="eastAsia" w:ascii="宋体" w:hAnsi="宋体"/>
          <w:sz w:val="28"/>
          <w:szCs w:val="28"/>
          <w:lang w:eastAsia="zh-CN"/>
        </w:rPr>
        <w:t>，</w:t>
      </w:r>
      <w:r>
        <w:rPr>
          <w:rFonts w:hint="eastAsia" w:ascii="宋体" w:hAnsi="宋体"/>
          <w:sz w:val="28"/>
          <w:szCs w:val="28"/>
        </w:rPr>
        <w:t>只有资格审查合格的投标文件才有效。</w:t>
      </w:r>
    </w:p>
    <w:p>
      <w:pPr>
        <w:spacing w:line="360" w:lineRule="auto"/>
        <w:rPr>
          <w:rFonts w:ascii="宋体" w:hAnsi="宋体"/>
          <w:sz w:val="28"/>
          <w:szCs w:val="28"/>
        </w:rPr>
      </w:pPr>
      <w:r>
        <w:rPr>
          <w:rFonts w:hint="eastAsia" w:ascii="宋体" w:hAnsi="宋体"/>
          <w:sz w:val="28"/>
          <w:szCs w:val="28"/>
        </w:rPr>
        <w:t>1.2本项目不接受联合体资格审查申请。</w:t>
      </w:r>
    </w:p>
    <w:p>
      <w:pPr>
        <w:spacing w:line="360" w:lineRule="auto"/>
        <w:rPr>
          <w:rFonts w:ascii="宋体" w:hAnsi="宋体"/>
          <w:bCs/>
          <w:sz w:val="28"/>
          <w:szCs w:val="28"/>
        </w:rPr>
      </w:pPr>
      <w:r>
        <w:rPr>
          <w:rFonts w:hint="eastAsia" w:ascii="宋体" w:hAnsi="宋体"/>
          <w:sz w:val="28"/>
          <w:szCs w:val="28"/>
        </w:rPr>
        <w:t>1.3</w:t>
      </w:r>
      <w:r>
        <w:rPr>
          <w:rFonts w:hint="eastAsia" w:ascii="宋体" w:hAnsi="宋体"/>
          <w:bCs/>
          <w:sz w:val="28"/>
          <w:szCs w:val="28"/>
        </w:rPr>
        <w:t xml:space="preserve"> 具备完善的技术支持和售后服务体系，具有能长期提供产品、技术支持和优质售后服务的能力。</w:t>
      </w:r>
    </w:p>
    <w:p>
      <w:pPr>
        <w:spacing w:line="360" w:lineRule="auto"/>
        <w:rPr>
          <w:rFonts w:ascii="宋体" w:hAnsi="宋体"/>
          <w:bCs/>
          <w:sz w:val="28"/>
          <w:szCs w:val="28"/>
        </w:rPr>
      </w:pPr>
      <w:r>
        <w:rPr>
          <w:rFonts w:hint="eastAsia" w:ascii="宋体" w:hAnsi="宋体"/>
          <w:sz w:val="28"/>
          <w:szCs w:val="28"/>
        </w:rPr>
        <w:t>1.4</w:t>
      </w:r>
      <w:r>
        <w:rPr>
          <w:rFonts w:hint="eastAsia" w:ascii="宋体" w:hAnsi="宋体"/>
          <w:bCs/>
          <w:sz w:val="28"/>
          <w:szCs w:val="28"/>
        </w:rPr>
        <w:t>需原厂对本次招标的授权函原件（原厂商直接参加投标的除外）。</w:t>
      </w:r>
    </w:p>
    <w:p>
      <w:pPr>
        <w:spacing w:line="360" w:lineRule="auto"/>
        <w:rPr>
          <w:rFonts w:ascii="宋体" w:hAnsi="宋体"/>
          <w:bCs/>
          <w:sz w:val="28"/>
          <w:szCs w:val="28"/>
        </w:rPr>
      </w:pPr>
      <w:r>
        <w:rPr>
          <w:rFonts w:hint="eastAsia" w:ascii="宋体" w:hAnsi="宋体"/>
          <w:sz w:val="28"/>
          <w:szCs w:val="28"/>
        </w:rPr>
        <w:t>1.5</w:t>
      </w:r>
      <w:r>
        <w:rPr>
          <w:rFonts w:hint="eastAsia" w:ascii="宋体" w:hAnsi="宋体"/>
          <w:bCs/>
          <w:sz w:val="28"/>
          <w:szCs w:val="28"/>
        </w:rPr>
        <w:t>交货时需提供所供货物的保修确认书，保修期限由原厂确认。</w:t>
      </w:r>
    </w:p>
    <w:p>
      <w:pPr>
        <w:spacing w:line="360" w:lineRule="auto"/>
        <w:rPr>
          <w:rFonts w:ascii="宋体" w:hAnsi="宋体"/>
          <w:sz w:val="28"/>
          <w:szCs w:val="28"/>
        </w:rPr>
      </w:pPr>
      <w:r>
        <w:rPr>
          <w:rFonts w:hint="eastAsia" w:ascii="宋体" w:hAnsi="宋体"/>
          <w:sz w:val="28"/>
          <w:szCs w:val="28"/>
        </w:rPr>
        <w:t>1.6能提供良好的技术支持和售后服务，请对设备维护体系作详细说明。并提供售后网点的数量及分布情况。</w:t>
      </w:r>
    </w:p>
    <w:p>
      <w:pPr>
        <w:spacing w:line="360" w:lineRule="auto"/>
        <w:rPr>
          <w:rFonts w:ascii="宋体" w:hAnsi="宋体"/>
          <w:sz w:val="28"/>
          <w:szCs w:val="28"/>
        </w:rPr>
      </w:pPr>
      <w:r>
        <w:rPr>
          <w:rFonts w:hint="eastAsia" w:ascii="宋体" w:hAnsi="宋体"/>
          <w:sz w:val="28"/>
          <w:szCs w:val="28"/>
        </w:rPr>
        <w:t>1.7 江苏、上海地区之外投标人需在苏州地区有正式的分支机构。</w:t>
      </w:r>
    </w:p>
    <w:p>
      <w:pPr>
        <w:spacing w:line="360" w:lineRule="auto"/>
        <w:rPr>
          <w:rFonts w:ascii="宋体" w:hAnsi="宋体"/>
          <w:sz w:val="28"/>
          <w:szCs w:val="28"/>
        </w:rPr>
      </w:pPr>
    </w:p>
    <w:p>
      <w:pPr>
        <w:spacing w:line="360" w:lineRule="auto"/>
        <w:rPr>
          <w:rFonts w:ascii="宋体" w:hAnsi="宋体"/>
          <w:b/>
          <w:sz w:val="28"/>
          <w:szCs w:val="28"/>
        </w:rPr>
      </w:pPr>
      <w:r>
        <w:rPr>
          <w:rFonts w:hint="eastAsia" w:ascii="宋体" w:hAnsi="宋体"/>
          <w:b/>
          <w:sz w:val="28"/>
          <w:szCs w:val="28"/>
        </w:rPr>
        <w:t>质量保证及保修</w:t>
      </w:r>
    </w:p>
    <w:p>
      <w:pPr>
        <w:spacing w:line="360" w:lineRule="auto"/>
        <w:rPr>
          <w:rFonts w:ascii="宋体" w:hAnsi="宋体"/>
          <w:sz w:val="28"/>
          <w:szCs w:val="28"/>
        </w:rPr>
      </w:pPr>
      <w:r>
        <w:rPr>
          <w:rFonts w:hint="eastAsia" w:ascii="宋体" w:hAnsi="宋体"/>
          <w:sz w:val="28"/>
          <w:szCs w:val="28"/>
        </w:rPr>
        <w:t>2.1中标单位应提供原厂设备，以满足招标文件中所提到的规范要求，提供的产品保证是原厂商生产的全新的、未使用过的产品。</w:t>
      </w:r>
    </w:p>
    <w:p>
      <w:pPr>
        <w:spacing w:line="360" w:lineRule="auto"/>
        <w:rPr>
          <w:rFonts w:ascii="宋体" w:hAnsi="宋体"/>
          <w:sz w:val="28"/>
          <w:szCs w:val="28"/>
        </w:rPr>
      </w:pPr>
      <w:r>
        <w:rPr>
          <w:rFonts w:hint="eastAsia" w:ascii="宋体" w:hAnsi="宋体"/>
          <w:sz w:val="28"/>
          <w:szCs w:val="28"/>
        </w:rPr>
        <w:t>2.2中标单位应提供的设备在安装期、试运转期及最终验收后保修期内，由于设备质量问题而产生故障影响正常运行，以及操作人员无法处理的疑难问题，将免费提供修理服务，及时解决设备中存在的各种问题和设备的修理问题。</w:t>
      </w:r>
    </w:p>
    <w:p>
      <w:pPr>
        <w:spacing w:line="360" w:lineRule="auto"/>
        <w:rPr>
          <w:rFonts w:ascii="宋体" w:hAnsi="宋体"/>
          <w:b/>
          <w:sz w:val="28"/>
          <w:szCs w:val="28"/>
        </w:rPr>
      </w:pPr>
      <w:r>
        <w:rPr>
          <w:rFonts w:hint="eastAsia" w:ascii="宋体" w:hAnsi="宋体"/>
          <w:b/>
          <w:sz w:val="28"/>
          <w:szCs w:val="28"/>
        </w:rPr>
        <w:t>售后服务措施</w:t>
      </w:r>
    </w:p>
    <w:p>
      <w:pPr>
        <w:spacing w:line="360" w:lineRule="auto"/>
        <w:rPr>
          <w:rFonts w:ascii="宋体" w:hAnsi="宋体"/>
          <w:sz w:val="28"/>
          <w:szCs w:val="28"/>
        </w:rPr>
      </w:pPr>
      <w:r>
        <w:rPr>
          <w:rFonts w:hint="eastAsia" w:ascii="宋体" w:hAnsi="宋体"/>
          <w:sz w:val="28"/>
          <w:szCs w:val="28"/>
        </w:rPr>
        <w:t>3.1中标单位应承诺保证用户的利益，提供用户长久的技术支持及设备使用的培训，保证在保修期内免费服务，并保证在保修期后，对任何出现障碍的设备进行修理，并以不高于本合同同类设备价格向用户提供备件。</w:t>
      </w:r>
    </w:p>
    <w:p>
      <w:pPr>
        <w:spacing w:line="360" w:lineRule="auto"/>
        <w:rPr>
          <w:rFonts w:ascii="宋体" w:hAnsi="宋体"/>
          <w:sz w:val="28"/>
          <w:szCs w:val="28"/>
        </w:rPr>
      </w:pPr>
      <w:r>
        <w:rPr>
          <w:rFonts w:hint="eastAsia" w:ascii="宋体" w:hAnsi="宋体"/>
          <w:sz w:val="28"/>
          <w:szCs w:val="28"/>
        </w:rPr>
        <w:t>3.2中标单位应设有7*24小时客服热线电话，当用户设备出现故障应在2小时内响应。并对用户所提出的技术问题及所要求解决的问题提供具体的实质性的售后服务措施。</w:t>
      </w:r>
    </w:p>
    <w:p>
      <w:pPr>
        <w:spacing w:line="360" w:lineRule="auto"/>
        <w:rPr>
          <w:rFonts w:ascii="宋体" w:hAnsi="宋体"/>
          <w:b/>
          <w:sz w:val="28"/>
          <w:szCs w:val="28"/>
        </w:rPr>
      </w:pPr>
      <w:r>
        <w:rPr>
          <w:rFonts w:hint="eastAsia" w:ascii="宋体" w:hAnsi="宋体"/>
          <w:sz w:val="28"/>
          <w:szCs w:val="28"/>
        </w:rPr>
        <w:t xml:space="preserve">3.3 </w:t>
      </w:r>
      <w:r>
        <w:rPr>
          <w:rFonts w:hint="eastAsia" w:ascii="宋体" w:hAnsi="宋体"/>
          <w:b/>
          <w:sz w:val="28"/>
          <w:szCs w:val="28"/>
        </w:rPr>
        <w:t>投标方签订合同时按</w:t>
      </w:r>
      <w:r>
        <w:rPr>
          <w:rFonts w:ascii="宋体" w:hAnsi="宋体"/>
          <w:b/>
          <w:sz w:val="28"/>
          <w:szCs w:val="28"/>
        </w:rPr>
        <w:t>需提供售后履约保函</w:t>
      </w:r>
      <w:r>
        <w:rPr>
          <w:rFonts w:hint="eastAsia" w:ascii="宋体" w:hAnsi="宋体"/>
          <w:b/>
          <w:sz w:val="28"/>
          <w:szCs w:val="28"/>
        </w:rPr>
        <w:t>，对所投</w:t>
      </w:r>
      <w:r>
        <w:rPr>
          <w:rFonts w:ascii="宋体" w:hAnsi="宋体"/>
          <w:b/>
          <w:sz w:val="28"/>
          <w:szCs w:val="28"/>
        </w:rPr>
        <w:t>产品的</w:t>
      </w:r>
      <w:r>
        <w:rPr>
          <w:rFonts w:hint="eastAsia" w:ascii="宋体" w:hAnsi="宋体"/>
          <w:b/>
          <w:sz w:val="28"/>
          <w:szCs w:val="28"/>
        </w:rPr>
        <w:t>售后</w:t>
      </w:r>
      <w:r>
        <w:rPr>
          <w:rFonts w:ascii="宋体" w:hAnsi="宋体"/>
          <w:b/>
          <w:sz w:val="28"/>
          <w:szCs w:val="28"/>
        </w:rPr>
        <w:t>服务履约进行承诺</w:t>
      </w:r>
      <w:r>
        <w:rPr>
          <w:rFonts w:hint="eastAsia" w:ascii="宋体" w:hAnsi="宋体"/>
          <w:b/>
          <w:sz w:val="28"/>
          <w:szCs w:val="28"/>
        </w:rPr>
        <w:t>（包括</w:t>
      </w:r>
      <w:r>
        <w:rPr>
          <w:rFonts w:ascii="宋体" w:hAnsi="宋体"/>
          <w:b/>
          <w:sz w:val="28"/>
          <w:szCs w:val="28"/>
        </w:rPr>
        <w:t>但不限于维修时间</w:t>
      </w:r>
      <w:r>
        <w:rPr>
          <w:rFonts w:hint="eastAsia" w:ascii="宋体" w:hAnsi="宋体"/>
          <w:b/>
          <w:sz w:val="28"/>
          <w:szCs w:val="28"/>
        </w:rPr>
        <w:t>承诺</w:t>
      </w:r>
      <w:r>
        <w:rPr>
          <w:rFonts w:ascii="宋体" w:hAnsi="宋体"/>
          <w:b/>
          <w:sz w:val="28"/>
          <w:szCs w:val="28"/>
        </w:rPr>
        <w:t>、同一故障维修</w:t>
      </w:r>
      <w:r>
        <w:rPr>
          <w:rFonts w:hint="eastAsia" w:ascii="宋体" w:hAnsi="宋体"/>
          <w:b/>
          <w:sz w:val="28"/>
          <w:szCs w:val="28"/>
        </w:rPr>
        <w:t>次数承诺</w:t>
      </w:r>
      <w:r>
        <w:rPr>
          <w:rFonts w:ascii="宋体" w:hAnsi="宋体"/>
          <w:b/>
          <w:sz w:val="28"/>
          <w:szCs w:val="28"/>
        </w:rPr>
        <w:t>等。</w:t>
      </w:r>
      <w:r>
        <w:rPr>
          <w:rFonts w:hint="eastAsia" w:ascii="宋体" w:hAnsi="宋体"/>
          <w:b/>
          <w:sz w:val="28"/>
          <w:szCs w:val="28"/>
        </w:rPr>
        <w:t>）</w:t>
      </w:r>
    </w:p>
    <w:p>
      <w:pPr>
        <w:spacing w:line="360" w:lineRule="auto"/>
        <w:ind w:firstLine="280" w:firstLineChars="100"/>
        <w:rPr>
          <w:rFonts w:ascii="宋体" w:hAnsi="宋体"/>
          <w:sz w:val="28"/>
          <w:szCs w:val="28"/>
        </w:rPr>
      </w:pPr>
    </w:p>
    <w:p>
      <w:pPr>
        <w:spacing w:line="360" w:lineRule="auto"/>
        <w:rPr>
          <w:rFonts w:ascii="宋体" w:hAnsi="宋体"/>
          <w:b/>
          <w:sz w:val="28"/>
          <w:szCs w:val="28"/>
        </w:rPr>
      </w:pPr>
      <w:r>
        <w:rPr>
          <w:rFonts w:hint="eastAsia" w:ascii="宋体" w:hAnsi="宋体"/>
          <w:b/>
          <w:sz w:val="28"/>
          <w:szCs w:val="28"/>
        </w:rPr>
        <w:t>机型变动</w:t>
      </w:r>
    </w:p>
    <w:p>
      <w:pPr>
        <w:spacing w:line="360" w:lineRule="auto"/>
        <w:rPr>
          <w:rFonts w:ascii="宋体" w:hAnsi="宋体"/>
          <w:sz w:val="28"/>
          <w:szCs w:val="28"/>
        </w:rPr>
      </w:pPr>
      <w:r>
        <w:rPr>
          <w:rFonts w:hint="eastAsia" w:ascii="宋体" w:hAnsi="宋体"/>
          <w:sz w:val="28"/>
          <w:szCs w:val="28"/>
        </w:rPr>
        <w:t>4.1在合同期间因停产、升级等原因引起的机型变动，或机型故障率超过招标单位制定的上限标准，需无偿更换新机型，中标方应保证新机型与原机型的兼容性，新机型的性能不低于原机型，价格不高于中标价，</w:t>
      </w:r>
      <w:r>
        <w:rPr>
          <w:rFonts w:ascii="宋体" w:hAnsi="宋体"/>
          <w:sz w:val="28"/>
          <w:szCs w:val="28"/>
        </w:rPr>
        <w:t>也不得以成本原因拒绝供货。</w:t>
      </w:r>
    </w:p>
    <w:p>
      <w:pPr>
        <w:spacing w:line="360" w:lineRule="auto"/>
        <w:ind w:firstLine="280" w:firstLineChars="100"/>
        <w:rPr>
          <w:rFonts w:ascii="宋体" w:hAnsi="宋体"/>
          <w:sz w:val="28"/>
          <w:szCs w:val="28"/>
        </w:rPr>
      </w:pPr>
    </w:p>
    <w:p>
      <w:pPr>
        <w:spacing w:line="360" w:lineRule="auto"/>
        <w:rPr>
          <w:rFonts w:ascii="宋体" w:hAnsi="宋体"/>
          <w:b/>
          <w:sz w:val="28"/>
          <w:szCs w:val="28"/>
        </w:rPr>
      </w:pPr>
      <w:r>
        <w:rPr>
          <w:rFonts w:hint="eastAsia" w:ascii="宋体" w:hAnsi="宋体"/>
          <w:b/>
          <w:sz w:val="28"/>
          <w:szCs w:val="28"/>
        </w:rPr>
        <w:t>价格承诺</w:t>
      </w:r>
    </w:p>
    <w:p>
      <w:pPr>
        <w:spacing w:line="360" w:lineRule="auto"/>
        <w:rPr>
          <w:rFonts w:ascii="宋体" w:hAnsi="宋体"/>
          <w:bCs/>
          <w:color w:val="000000"/>
          <w:sz w:val="28"/>
          <w:szCs w:val="28"/>
        </w:rPr>
      </w:pPr>
      <w:r>
        <w:rPr>
          <w:rFonts w:hint="eastAsia" w:ascii="宋体" w:hAnsi="宋体"/>
          <w:bCs/>
          <w:color w:val="000000"/>
          <w:sz w:val="28"/>
          <w:szCs w:val="28"/>
        </w:rPr>
        <w:t>5.1招标单位将根据自身需求向中标单位进行采购，招标单位不保证采购数量。</w:t>
      </w:r>
    </w:p>
    <w:p>
      <w:pPr>
        <w:spacing w:line="360" w:lineRule="auto"/>
        <w:rPr>
          <w:rFonts w:ascii="宋体" w:hAnsi="宋体"/>
          <w:bCs/>
          <w:color w:val="000000"/>
          <w:sz w:val="28"/>
          <w:szCs w:val="28"/>
        </w:rPr>
      </w:pPr>
    </w:p>
    <w:p>
      <w:pPr>
        <w:tabs>
          <w:tab w:val="left" w:pos="8280"/>
        </w:tabs>
        <w:jc w:val="center"/>
        <w:rPr>
          <w:rFonts w:ascii="宋体" w:hAnsi="宋体"/>
          <w:b/>
          <w:color w:val="000000"/>
          <w:sz w:val="32"/>
          <w:szCs w:val="32"/>
        </w:rPr>
      </w:pPr>
      <w:r>
        <w:rPr>
          <w:rFonts w:hint="eastAsia" w:ascii="宋体" w:hAnsi="宋体"/>
          <w:b/>
          <w:color w:val="000000"/>
          <w:sz w:val="32"/>
          <w:szCs w:val="32"/>
        </w:rPr>
        <w:t xml:space="preserve">第四部分  </w:t>
      </w:r>
      <w:bookmarkStart w:id="1" w:name="投标方须知"/>
      <w:bookmarkEnd w:id="1"/>
      <w:r>
        <w:rPr>
          <w:rFonts w:hint="eastAsia" w:ascii="宋体" w:hAnsi="宋体"/>
          <w:b/>
          <w:color w:val="000000"/>
          <w:sz w:val="32"/>
          <w:szCs w:val="32"/>
        </w:rPr>
        <w:t>投标方须知</w:t>
      </w:r>
    </w:p>
    <w:p>
      <w:pPr>
        <w:tabs>
          <w:tab w:val="left" w:pos="8280"/>
        </w:tabs>
        <w:rPr>
          <w:rFonts w:ascii="宋体" w:hAnsi="宋体"/>
          <w:b/>
          <w:color w:val="000000"/>
          <w:sz w:val="32"/>
          <w:szCs w:val="32"/>
        </w:rPr>
      </w:pPr>
      <w:r>
        <w:rPr>
          <w:rFonts w:hint="eastAsia" w:ascii="宋体" w:hAnsi="宋体"/>
          <w:b/>
          <w:color w:val="000000"/>
          <w:sz w:val="28"/>
          <w:szCs w:val="28"/>
        </w:rPr>
        <w:t xml:space="preserve"> A说明</w:t>
      </w:r>
    </w:p>
    <w:p>
      <w:pPr>
        <w:tabs>
          <w:tab w:val="left" w:pos="8280"/>
        </w:tabs>
        <w:rPr>
          <w:rFonts w:ascii="宋体" w:hAnsi="宋体"/>
          <w:color w:val="000000"/>
          <w:sz w:val="28"/>
          <w:szCs w:val="28"/>
        </w:rPr>
      </w:pPr>
      <w:r>
        <w:rPr>
          <w:rFonts w:hint="eastAsia" w:ascii="宋体" w:hAnsi="宋体"/>
          <w:color w:val="000000"/>
          <w:sz w:val="28"/>
          <w:szCs w:val="28"/>
        </w:rPr>
        <w:t>1.适用范围</w:t>
      </w:r>
    </w:p>
    <w:p>
      <w:pPr>
        <w:tabs>
          <w:tab w:val="left" w:pos="8280"/>
        </w:tabs>
        <w:rPr>
          <w:rFonts w:ascii="宋体" w:hAnsi="宋体"/>
          <w:color w:val="000000"/>
          <w:sz w:val="28"/>
          <w:szCs w:val="28"/>
        </w:rPr>
      </w:pPr>
      <w:r>
        <w:rPr>
          <w:rFonts w:hint="eastAsia" w:ascii="宋体" w:hAnsi="宋体"/>
          <w:color w:val="000000"/>
          <w:sz w:val="28"/>
          <w:szCs w:val="28"/>
        </w:rPr>
        <w:t>1.1 本招标文件仅适用于本次投标中所叙述项目。</w:t>
      </w:r>
    </w:p>
    <w:p>
      <w:pPr>
        <w:tabs>
          <w:tab w:val="left" w:pos="8280"/>
        </w:tabs>
        <w:rPr>
          <w:rFonts w:ascii="宋体" w:hAnsi="宋体"/>
          <w:color w:val="000000"/>
          <w:sz w:val="28"/>
          <w:szCs w:val="28"/>
        </w:rPr>
      </w:pPr>
      <w:r>
        <w:rPr>
          <w:rFonts w:hint="eastAsia" w:ascii="宋体" w:hAnsi="宋体"/>
          <w:color w:val="000000"/>
          <w:sz w:val="28"/>
          <w:szCs w:val="28"/>
        </w:rPr>
        <w:t>2.定义</w:t>
      </w:r>
    </w:p>
    <w:p>
      <w:pPr>
        <w:tabs>
          <w:tab w:val="left" w:pos="8280"/>
        </w:tabs>
        <w:rPr>
          <w:rFonts w:ascii="宋体" w:hAnsi="宋体"/>
          <w:color w:val="000000"/>
          <w:sz w:val="28"/>
          <w:szCs w:val="28"/>
        </w:rPr>
      </w:pPr>
      <w:r>
        <w:rPr>
          <w:rFonts w:hint="eastAsia" w:ascii="宋体" w:hAnsi="宋体"/>
          <w:color w:val="000000"/>
          <w:sz w:val="28"/>
          <w:szCs w:val="28"/>
        </w:rPr>
        <w:t>2.1“招标方”系指组织本次招标活动的采购机构——</w:t>
      </w:r>
      <w:r>
        <w:rPr>
          <w:rFonts w:hint="eastAsia" w:ascii="宋体" w:hAnsi="宋体"/>
          <w:snapToGrid w:val="0"/>
          <w:color w:val="000000"/>
          <w:sz w:val="28"/>
        </w:rPr>
        <w:t>江苏常熟农村商业银行股份有限公司</w:t>
      </w:r>
      <w:r>
        <w:rPr>
          <w:rFonts w:hint="eastAsia" w:ascii="宋体" w:hAnsi="宋体"/>
          <w:color w:val="000000"/>
          <w:sz w:val="28"/>
          <w:szCs w:val="28"/>
        </w:rPr>
        <w:t>。</w:t>
      </w:r>
    </w:p>
    <w:p>
      <w:pPr>
        <w:tabs>
          <w:tab w:val="left" w:pos="8280"/>
        </w:tabs>
        <w:rPr>
          <w:rFonts w:ascii="宋体" w:hAnsi="宋体"/>
          <w:color w:val="FF0000"/>
          <w:sz w:val="28"/>
          <w:szCs w:val="28"/>
        </w:rPr>
      </w:pPr>
      <w:r>
        <w:rPr>
          <w:rFonts w:hint="eastAsia" w:ascii="宋体" w:hAnsi="宋体"/>
          <w:color w:val="000000"/>
          <w:sz w:val="28"/>
          <w:szCs w:val="28"/>
        </w:rPr>
        <w:t>2.2“投标方”系指向招标方提交投标文件的</w:t>
      </w:r>
      <w:r>
        <w:rPr>
          <w:rFonts w:hint="eastAsia" w:ascii="宋体" w:hAnsi="宋体"/>
          <w:sz w:val="28"/>
          <w:szCs w:val="28"/>
        </w:rPr>
        <w:t>法人单位。</w:t>
      </w:r>
    </w:p>
    <w:p>
      <w:pPr>
        <w:tabs>
          <w:tab w:val="left" w:pos="8280"/>
        </w:tabs>
        <w:ind w:left="840" w:hanging="840"/>
        <w:rPr>
          <w:rFonts w:ascii="宋体" w:hAnsi="宋体"/>
          <w:color w:val="000000"/>
          <w:sz w:val="28"/>
          <w:szCs w:val="28"/>
        </w:rPr>
      </w:pPr>
      <w:r>
        <w:rPr>
          <w:rFonts w:hint="eastAsia" w:ascii="宋体" w:hAnsi="宋体"/>
          <w:color w:val="000000"/>
          <w:sz w:val="28"/>
          <w:szCs w:val="28"/>
        </w:rPr>
        <w:t>2.3“服务”系指招标文件规定投标方须承担的技术服务。</w:t>
      </w:r>
    </w:p>
    <w:p>
      <w:pPr>
        <w:tabs>
          <w:tab w:val="left" w:pos="8280"/>
        </w:tabs>
        <w:ind w:left="840" w:hanging="840"/>
        <w:rPr>
          <w:rFonts w:ascii="宋体" w:hAnsi="宋体"/>
          <w:color w:val="000000"/>
          <w:sz w:val="28"/>
          <w:szCs w:val="28"/>
        </w:rPr>
      </w:pPr>
      <w:r>
        <w:rPr>
          <w:rFonts w:hint="eastAsia" w:ascii="宋体" w:hAnsi="宋体"/>
          <w:color w:val="000000"/>
          <w:sz w:val="28"/>
          <w:szCs w:val="28"/>
        </w:rPr>
        <w:t>3．合格的投标方</w:t>
      </w:r>
    </w:p>
    <w:p>
      <w:pPr>
        <w:tabs>
          <w:tab w:val="left" w:pos="8280"/>
        </w:tabs>
        <w:rPr>
          <w:rFonts w:ascii="宋体" w:hAnsi="宋体"/>
          <w:color w:val="000000"/>
          <w:sz w:val="28"/>
          <w:szCs w:val="28"/>
        </w:rPr>
      </w:pPr>
      <w:r>
        <w:rPr>
          <w:rFonts w:hint="eastAsia" w:ascii="宋体" w:hAnsi="宋体"/>
          <w:color w:val="000000"/>
          <w:sz w:val="28"/>
          <w:szCs w:val="28"/>
        </w:rPr>
        <w:t>3.1凡经过江苏常熟农村商业银行股份有限公司资格预审合格</w:t>
      </w:r>
      <w:r>
        <w:rPr>
          <w:rFonts w:hint="eastAsia" w:ascii="宋体" w:hAnsi="宋体"/>
          <w:sz w:val="28"/>
          <w:szCs w:val="28"/>
        </w:rPr>
        <w:t>法人单位</w:t>
      </w:r>
      <w:r>
        <w:rPr>
          <w:rFonts w:hint="eastAsia" w:ascii="宋体" w:hAnsi="宋体"/>
          <w:color w:val="000000"/>
          <w:sz w:val="28"/>
          <w:szCs w:val="28"/>
        </w:rPr>
        <w:t>均为合格的投标方。</w:t>
      </w:r>
    </w:p>
    <w:p>
      <w:pPr>
        <w:tabs>
          <w:tab w:val="left" w:pos="8280"/>
        </w:tabs>
        <w:rPr>
          <w:rFonts w:ascii="宋体" w:hAnsi="宋体"/>
          <w:color w:val="000000"/>
          <w:sz w:val="28"/>
          <w:szCs w:val="28"/>
        </w:rPr>
      </w:pPr>
      <w:r>
        <w:rPr>
          <w:rFonts w:hint="eastAsia" w:ascii="宋体" w:hAnsi="宋体"/>
          <w:color w:val="000000"/>
          <w:sz w:val="28"/>
          <w:szCs w:val="28"/>
        </w:rPr>
        <w:t>3.2 投标方应遵守国家的有关法律。</w:t>
      </w:r>
    </w:p>
    <w:p>
      <w:pPr>
        <w:tabs>
          <w:tab w:val="left" w:pos="8280"/>
        </w:tabs>
        <w:rPr>
          <w:rFonts w:ascii="宋体" w:hAnsi="宋体"/>
          <w:color w:val="000000"/>
          <w:sz w:val="28"/>
          <w:szCs w:val="28"/>
        </w:rPr>
      </w:pPr>
    </w:p>
    <w:p>
      <w:pPr>
        <w:tabs>
          <w:tab w:val="left" w:pos="8280"/>
        </w:tabs>
        <w:rPr>
          <w:rFonts w:ascii="宋体" w:hAnsi="宋体"/>
          <w:b/>
          <w:color w:val="000000"/>
          <w:sz w:val="28"/>
          <w:szCs w:val="28"/>
        </w:rPr>
      </w:pPr>
      <w:r>
        <w:rPr>
          <w:rFonts w:hint="eastAsia" w:ascii="宋体" w:hAnsi="宋体"/>
          <w:b/>
          <w:color w:val="000000"/>
          <w:sz w:val="28"/>
          <w:szCs w:val="28"/>
        </w:rPr>
        <w:t>B招标文件说明</w:t>
      </w:r>
    </w:p>
    <w:p>
      <w:pPr>
        <w:tabs>
          <w:tab w:val="left" w:pos="8280"/>
        </w:tabs>
        <w:rPr>
          <w:rFonts w:ascii="宋体" w:hAnsi="宋体"/>
          <w:color w:val="000000"/>
          <w:sz w:val="28"/>
          <w:szCs w:val="28"/>
        </w:rPr>
      </w:pPr>
      <w:r>
        <w:rPr>
          <w:rFonts w:hint="eastAsia" w:ascii="宋体" w:hAnsi="宋体"/>
          <w:color w:val="000000"/>
          <w:sz w:val="28"/>
          <w:szCs w:val="28"/>
        </w:rPr>
        <w:t>4.招标文件的构成</w:t>
      </w:r>
    </w:p>
    <w:p>
      <w:pPr>
        <w:tabs>
          <w:tab w:val="left" w:pos="8280"/>
        </w:tabs>
        <w:rPr>
          <w:rFonts w:ascii="宋体" w:hAnsi="宋体"/>
          <w:color w:val="000000"/>
          <w:sz w:val="28"/>
          <w:szCs w:val="28"/>
        </w:rPr>
      </w:pPr>
      <w:r>
        <w:rPr>
          <w:rFonts w:hint="eastAsia" w:ascii="宋体" w:hAnsi="宋体"/>
          <w:color w:val="000000"/>
          <w:sz w:val="28"/>
          <w:szCs w:val="28"/>
        </w:rPr>
        <w:t>4.1 招标文件用于阐明所需招标项目的软件、硬件及服务、招标投标程序和合同条款。招标文件由下述部分组成：</w:t>
      </w:r>
    </w:p>
    <w:p>
      <w:pPr>
        <w:tabs>
          <w:tab w:val="left" w:pos="8280"/>
        </w:tabs>
        <w:rPr>
          <w:rFonts w:ascii="宋体" w:hAnsi="宋体"/>
          <w:color w:val="000000"/>
          <w:sz w:val="28"/>
          <w:szCs w:val="28"/>
        </w:rPr>
      </w:pPr>
      <w:r>
        <w:rPr>
          <w:rFonts w:hint="eastAsia" w:ascii="宋体" w:hAnsi="宋体"/>
          <w:color w:val="000000"/>
          <w:sz w:val="28"/>
          <w:szCs w:val="28"/>
        </w:rPr>
        <w:t>（1）招标公告</w:t>
      </w:r>
    </w:p>
    <w:p>
      <w:pPr>
        <w:tabs>
          <w:tab w:val="left" w:pos="8280"/>
        </w:tabs>
        <w:rPr>
          <w:rFonts w:ascii="宋体" w:hAnsi="宋体"/>
          <w:sz w:val="28"/>
          <w:szCs w:val="28"/>
        </w:rPr>
      </w:pPr>
      <w:r>
        <w:rPr>
          <w:rFonts w:hint="eastAsia" w:ascii="宋体" w:hAnsi="宋体"/>
          <w:sz w:val="28"/>
          <w:szCs w:val="28"/>
        </w:rPr>
        <w:t>（2）招标清单</w:t>
      </w:r>
    </w:p>
    <w:p>
      <w:pPr>
        <w:tabs>
          <w:tab w:val="left" w:pos="8280"/>
        </w:tabs>
        <w:outlineLvl w:val="0"/>
        <w:rPr>
          <w:rFonts w:ascii="宋体" w:hAnsi="宋体"/>
          <w:color w:val="000000"/>
          <w:sz w:val="28"/>
          <w:szCs w:val="28"/>
        </w:rPr>
      </w:pPr>
      <w:r>
        <w:rPr>
          <w:rFonts w:hint="eastAsia" w:ascii="宋体" w:hAnsi="宋体"/>
          <w:color w:val="000000"/>
          <w:sz w:val="28"/>
          <w:szCs w:val="28"/>
        </w:rPr>
        <w:t>（3）申请人资格要求</w:t>
      </w:r>
    </w:p>
    <w:p>
      <w:pPr>
        <w:tabs>
          <w:tab w:val="left" w:pos="8280"/>
        </w:tabs>
        <w:outlineLvl w:val="0"/>
        <w:rPr>
          <w:rFonts w:ascii="宋体" w:hAnsi="宋体"/>
          <w:color w:val="000000"/>
          <w:sz w:val="28"/>
          <w:szCs w:val="28"/>
        </w:rPr>
      </w:pPr>
      <w:r>
        <w:rPr>
          <w:rFonts w:hint="eastAsia" w:ascii="宋体" w:hAnsi="宋体"/>
          <w:color w:val="000000"/>
          <w:sz w:val="28"/>
          <w:szCs w:val="28"/>
        </w:rPr>
        <w:t>（4）投标方须知</w:t>
      </w:r>
    </w:p>
    <w:p>
      <w:pPr>
        <w:tabs>
          <w:tab w:val="left" w:pos="5485"/>
        </w:tabs>
        <w:outlineLvl w:val="0"/>
        <w:rPr>
          <w:rFonts w:ascii="宋体" w:hAnsi="宋体"/>
          <w:color w:val="000000"/>
          <w:sz w:val="28"/>
          <w:szCs w:val="28"/>
        </w:rPr>
      </w:pPr>
      <w:r>
        <w:rPr>
          <w:rFonts w:hint="eastAsia" w:ascii="宋体" w:hAnsi="宋体"/>
          <w:color w:val="000000"/>
          <w:sz w:val="28"/>
          <w:szCs w:val="28"/>
        </w:rPr>
        <w:t>（5）投标文件格式</w:t>
      </w:r>
      <w:r>
        <w:rPr>
          <w:rFonts w:ascii="宋体" w:hAnsi="宋体"/>
          <w:color w:val="000000"/>
          <w:sz w:val="28"/>
          <w:szCs w:val="28"/>
        </w:rPr>
        <w:tab/>
      </w:r>
    </w:p>
    <w:p>
      <w:pPr>
        <w:tabs>
          <w:tab w:val="left" w:pos="8280"/>
        </w:tabs>
        <w:rPr>
          <w:rFonts w:ascii="宋体" w:hAnsi="宋体"/>
          <w:color w:val="000000"/>
          <w:sz w:val="28"/>
          <w:szCs w:val="28"/>
        </w:rPr>
      </w:pPr>
      <w:r>
        <w:rPr>
          <w:rFonts w:hint="eastAsia" w:ascii="宋体" w:hAnsi="宋体"/>
          <w:color w:val="000000"/>
          <w:sz w:val="28"/>
          <w:szCs w:val="28"/>
        </w:rPr>
        <w:t>5.招标文件的修改</w:t>
      </w:r>
    </w:p>
    <w:p>
      <w:pPr>
        <w:tabs>
          <w:tab w:val="left" w:pos="8280"/>
        </w:tabs>
        <w:rPr>
          <w:rFonts w:ascii="宋体" w:hAnsi="宋体"/>
          <w:color w:val="000000"/>
          <w:sz w:val="28"/>
          <w:szCs w:val="28"/>
        </w:rPr>
      </w:pPr>
      <w:r>
        <w:rPr>
          <w:rFonts w:hint="eastAsia" w:ascii="宋体" w:hAnsi="宋体"/>
          <w:color w:val="000000"/>
          <w:sz w:val="28"/>
          <w:szCs w:val="28"/>
        </w:rPr>
        <w:t xml:space="preserve">5.1招标文件的修改书将构成招标文件的一部分，对投标方有约束力。 </w:t>
      </w:r>
    </w:p>
    <w:p>
      <w:pPr>
        <w:tabs>
          <w:tab w:val="left" w:pos="8280"/>
        </w:tabs>
        <w:rPr>
          <w:rFonts w:ascii="宋体" w:hAnsi="宋体"/>
          <w:b/>
          <w:color w:val="000000"/>
          <w:sz w:val="28"/>
          <w:szCs w:val="28"/>
        </w:rPr>
      </w:pPr>
    </w:p>
    <w:p>
      <w:pPr>
        <w:tabs>
          <w:tab w:val="left" w:pos="8280"/>
        </w:tabs>
        <w:rPr>
          <w:rFonts w:ascii="宋体" w:hAnsi="宋体"/>
          <w:b/>
          <w:color w:val="000000"/>
          <w:sz w:val="28"/>
          <w:szCs w:val="28"/>
        </w:rPr>
      </w:pPr>
      <w:r>
        <w:rPr>
          <w:rFonts w:hint="eastAsia" w:ascii="宋体" w:hAnsi="宋体"/>
          <w:b/>
          <w:color w:val="000000"/>
          <w:sz w:val="28"/>
          <w:szCs w:val="28"/>
        </w:rPr>
        <w:t>C投标文件的编写</w:t>
      </w:r>
    </w:p>
    <w:p>
      <w:pPr>
        <w:tabs>
          <w:tab w:val="left" w:pos="8280"/>
        </w:tabs>
        <w:rPr>
          <w:rFonts w:ascii="宋体" w:hAnsi="宋体"/>
          <w:color w:val="000000"/>
          <w:sz w:val="28"/>
          <w:szCs w:val="28"/>
        </w:rPr>
      </w:pPr>
      <w:r>
        <w:rPr>
          <w:rFonts w:hint="eastAsia" w:ascii="宋体" w:hAnsi="宋体"/>
          <w:color w:val="000000"/>
          <w:sz w:val="28"/>
          <w:szCs w:val="28"/>
        </w:rPr>
        <w:t>6．要求</w:t>
      </w:r>
    </w:p>
    <w:p>
      <w:pPr>
        <w:tabs>
          <w:tab w:val="left" w:pos="8280"/>
        </w:tabs>
        <w:rPr>
          <w:rFonts w:ascii="宋体" w:hAnsi="宋体"/>
          <w:color w:val="000000"/>
          <w:sz w:val="28"/>
          <w:szCs w:val="28"/>
        </w:rPr>
      </w:pPr>
      <w:r>
        <w:rPr>
          <w:rFonts w:hint="eastAsia" w:ascii="宋体" w:hAnsi="宋体"/>
          <w:color w:val="000000"/>
          <w:sz w:val="28"/>
          <w:szCs w:val="28"/>
        </w:rPr>
        <w:t>6.1投标方应仔细阅读招标文件的所有内容,按照招标文件的要求提供投标文件,并保证所提供的全部资料的真实性,否则,其投标可能被拒绝。</w:t>
      </w:r>
    </w:p>
    <w:p>
      <w:pPr>
        <w:tabs>
          <w:tab w:val="left" w:pos="8280"/>
        </w:tabs>
        <w:rPr>
          <w:rFonts w:ascii="宋体" w:hAnsi="宋体"/>
          <w:color w:val="000000"/>
          <w:sz w:val="28"/>
          <w:szCs w:val="28"/>
        </w:rPr>
      </w:pPr>
      <w:r>
        <w:rPr>
          <w:rFonts w:hint="eastAsia" w:ascii="宋体" w:hAnsi="宋体"/>
          <w:color w:val="000000"/>
          <w:sz w:val="28"/>
          <w:szCs w:val="28"/>
        </w:rPr>
        <w:t>7．投标文件组成</w:t>
      </w:r>
    </w:p>
    <w:p>
      <w:pPr>
        <w:tabs>
          <w:tab w:val="left" w:pos="8280"/>
        </w:tabs>
        <w:rPr>
          <w:rFonts w:ascii="宋体" w:hAnsi="宋体"/>
          <w:color w:val="000000"/>
          <w:sz w:val="28"/>
          <w:szCs w:val="28"/>
        </w:rPr>
      </w:pPr>
      <w:r>
        <w:rPr>
          <w:rFonts w:hint="eastAsia" w:ascii="宋体" w:hAnsi="宋体"/>
          <w:color w:val="000000"/>
          <w:sz w:val="28"/>
          <w:szCs w:val="28"/>
        </w:rPr>
        <w:t>7．1 投标文件应包括下列部分：</w:t>
      </w:r>
    </w:p>
    <w:p>
      <w:pPr>
        <w:tabs>
          <w:tab w:val="left" w:pos="8280"/>
        </w:tabs>
        <w:rPr>
          <w:rFonts w:ascii="宋体" w:hAnsi="宋体"/>
          <w:color w:val="000000"/>
          <w:sz w:val="28"/>
          <w:szCs w:val="28"/>
        </w:rPr>
      </w:pPr>
      <w:r>
        <w:rPr>
          <w:rFonts w:hint="eastAsia" w:ascii="宋体" w:hAnsi="宋体"/>
          <w:color w:val="000000"/>
          <w:sz w:val="28"/>
          <w:szCs w:val="28"/>
        </w:rPr>
        <w:t>（1）投标书、投标价格一览表、投标人情况简介、</w:t>
      </w:r>
      <w:r>
        <w:rPr>
          <w:rFonts w:hint="eastAsia" w:ascii="宋体" w:hAnsi="宋体"/>
          <w:snapToGrid w:val="0"/>
          <w:color w:val="000000"/>
          <w:sz w:val="28"/>
          <w:szCs w:val="28"/>
        </w:rPr>
        <w:t>投标人资格证明文件、原产授权函，</w:t>
      </w:r>
      <w:r>
        <w:rPr>
          <w:rFonts w:hint="eastAsia" w:ascii="宋体" w:hAnsi="宋体"/>
          <w:color w:val="000000"/>
          <w:sz w:val="28"/>
          <w:szCs w:val="28"/>
        </w:rPr>
        <w:t>以及法定代表人授权委托书（法定代表人参加投标，不用此委托书）。</w:t>
      </w:r>
    </w:p>
    <w:p>
      <w:pPr>
        <w:tabs>
          <w:tab w:val="left" w:pos="8280"/>
        </w:tabs>
        <w:rPr>
          <w:rFonts w:ascii="宋体" w:hAnsi="宋体"/>
          <w:color w:val="000000"/>
          <w:sz w:val="28"/>
          <w:szCs w:val="28"/>
        </w:rPr>
      </w:pPr>
      <w:r>
        <w:rPr>
          <w:rFonts w:hint="eastAsia" w:ascii="宋体" w:hAnsi="宋体"/>
          <w:color w:val="000000"/>
          <w:sz w:val="28"/>
          <w:szCs w:val="28"/>
        </w:rPr>
        <w:t>（2）投标文件符合招标文件规定的证明文件，及投标方认为需加以说明的其他内容。</w:t>
      </w:r>
    </w:p>
    <w:p>
      <w:pPr>
        <w:tabs>
          <w:tab w:val="left" w:pos="8280"/>
        </w:tabs>
        <w:rPr>
          <w:rFonts w:ascii="宋体" w:hAnsi="宋体"/>
          <w:color w:val="000000"/>
          <w:sz w:val="28"/>
          <w:szCs w:val="28"/>
        </w:rPr>
      </w:pPr>
      <w:r>
        <w:rPr>
          <w:rFonts w:hint="eastAsia" w:ascii="宋体" w:hAnsi="宋体"/>
          <w:color w:val="000000"/>
          <w:sz w:val="28"/>
          <w:szCs w:val="28"/>
        </w:rPr>
        <w:t>（3）投标方应将投标文件装订成册，在封面上填写“投标文件资料清单”。</w:t>
      </w:r>
    </w:p>
    <w:p>
      <w:pPr>
        <w:tabs>
          <w:tab w:val="left" w:pos="8280"/>
        </w:tabs>
        <w:rPr>
          <w:rFonts w:ascii="宋体" w:hAnsi="宋体"/>
          <w:color w:val="000000"/>
          <w:sz w:val="28"/>
          <w:szCs w:val="28"/>
        </w:rPr>
      </w:pPr>
      <w:r>
        <w:rPr>
          <w:rFonts w:hint="eastAsia" w:ascii="宋体" w:hAnsi="宋体"/>
          <w:color w:val="000000"/>
          <w:sz w:val="28"/>
          <w:szCs w:val="28"/>
        </w:rPr>
        <w:t>8．投标文件格式</w:t>
      </w:r>
    </w:p>
    <w:p>
      <w:pPr>
        <w:tabs>
          <w:tab w:val="left" w:pos="8280"/>
        </w:tabs>
        <w:rPr>
          <w:rFonts w:ascii="宋体" w:hAnsi="宋体"/>
          <w:color w:val="000000"/>
          <w:sz w:val="28"/>
          <w:szCs w:val="28"/>
        </w:rPr>
      </w:pPr>
      <w:r>
        <w:rPr>
          <w:rFonts w:hint="eastAsia" w:ascii="宋体" w:hAnsi="宋体"/>
          <w:color w:val="000000"/>
          <w:sz w:val="28"/>
          <w:szCs w:val="28"/>
        </w:rPr>
        <w:t>8.1投标方应按照招标文件中提供的投标文件格式复制投标书、投标价格一览表、投标人情况简介以及法定代表人授权委托书。</w:t>
      </w:r>
    </w:p>
    <w:p>
      <w:pPr>
        <w:tabs>
          <w:tab w:val="left" w:pos="8280"/>
        </w:tabs>
        <w:ind w:right="26"/>
        <w:rPr>
          <w:rFonts w:ascii="宋体" w:hAnsi="宋体"/>
          <w:color w:val="000000"/>
          <w:sz w:val="28"/>
          <w:szCs w:val="28"/>
        </w:rPr>
      </w:pPr>
      <w:r>
        <w:rPr>
          <w:rFonts w:hint="eastAsia" w:ascii="宋体" w:hAnsi="宋体"/>
          <w:color w:val="000000"/>
          <w:sz w:val="28"/>
          <w:szCs w:val="28"/>
        </w:rPr>
        <w:t>8.2投标方需按照本招标文件要求进行投标。</w:t>
      </w:r>
    </w:p>
    <w:p>
      <w:pPr>
        <w:tabs>
          <w:tab w:val="left" w:pos="8280"/>
        </w:tabs>
        <w:ind w:right="-1801"/>
        <w:rPr>
          <w:rFonts w:ascii="宋体" w:hAnsi="宋体"/>
          <w:color w:val="000000"/>
          <w:sz w:val="28"/>
          <w:szCs w:val="28"/>
        </w:rPr>
      </w:pPr>
      <w:r>
        <w:rPr>
          <w:rFonts w:hint="eastAsia" w:ascii="宋体" w:hAnsi="宋体"/>
          <w:color w:val="000000"/>
          <w:sz w:val="28"/>
          <w:szCs w:val="28"/>
        </w:rPr>
        <w:t>9．投标报价</w:t>
      </w:r>
    </w:p>
    <w:p>
      <w:pPr>
        <w:tabs>
          <w:tab w:val="left" w:pos="8280"/>
        </w:tabs>
        <w:ind w:right="-1801"/>
        <w:rPr>
          <w:rFonts w:ascii="宋体" w:hAnsi="宋体"/>
          <w:color w:val="000000"/>
          <w:sz w:val="28"/>
          <w:szCs w:val="28"/>
        </w:rPr>
      </w:pPr>
      <w:r>
        <w:rPr>
          <w:rFonts w:hint="eastAsia" w:ascii="宋体" w:hAnsi="宋体"/>
          <w:color w:val="000000"/>
          <w:sz w:val="28"/>
          <w:szCs w:val="28"/>
        </w:rPr>
        <w:t>9.1投标方应在投标文件上写明投标项目的各项明细报价。</w:t>
      </w:r>
    </w:p>
    <w:p>
      <w:pPr>
        <w:tabs>
          <w:tab w:val="left" w:pos="8280"/>
        </w:tabs>
        <w:ind w:left="945" w:right="26" w:hanging="945"/>
        <w:rPr>
          <w:rFonts w:ascii="宋体" w:hAnsi="宋体"/>
          <w:color w:val="000000"/>
          <w:sz w:val="28"/>
          <w:szCs w:val="28"/>
        </w:rPr>
      </w:pPr>
      <w:r>
        <w:rPr>
          <w:rFonts w:hint="eastAsia" w:ascii="宋体" w:hAnsi="宋体"/>
          <w:color w:val="000000"/>
          <w:sz w:val="28"/>
          <w:szCs w:val="28"/>
        </w:rPr>
        <w:t>9.2 投标方按上述条款要求填写报价以便于招标方评标。</w:t>
      </w:r>
    </w:p>
    <w:p>
      <w:pPr>
        <w:tabs>
          <w:tab w:val="left" w:pos="8280"/>
        </w:tabs>
        <w:ind w:right="-1801"/>
        <w:rPr>
          <w:rFonts w:ascii="宋体" w:hAnsi="宋体"/>
          <w:color w:val="000000"/>
          <w:sz w:val="28"/>
          <w:szCs w:val="28"/>
        </w:rPr>
      </w:pPr>
      <w:r>
        <w:rPr>
          <w:rFonts w:hint="eastAsia" w:ascii="宋体" w:hAnsi="宋体"/>
          <w:color w:val="000000"/>
          <w:sz w:val="28"/>
          <w:szCs w:val="28"/>
        </w:rPr>
        <w:t>10．投标方资格证明文件。</w:t>
      </w:r>
    </w:p>
    <w:p>
      <w:pPr>
        <w:tabs>
          <w:tab w:val="left" w:pos="8280"/>
        </w:tabs>
        <w:rPr>
          <w:rFonts w:ascii="宋体" w:hAnsi="宋体"/>
          <w:color w:val="000000"/>
          <w:sz w:val="28"/>
          <w:szCs w:val="28"/>
        </w:rPr>
      </w:pPr>
      <w:r>
        <w:rPr>
          <w:rFonts w:hint="eastAsia" w:ascii="宋体" w:hAnsi="宋体"/>
          <w:color w:val="000000"/>
          <w:sz w:val="28"/>
          <w:szCs w:val="28"/>
        </w:rPr>
        <w:t>10.1资格预审时所报的所有资料均作为投标文件内容(不另报)。</w:t>
      </w:r>
    </w:p>
    <w:p>
      <w:pPr>
        <w:tabs>
          <w:tab w:val="left" w:pos="8280"/>
        </w:tabs>
        <w:ind w:right="-1"/>
        <w:rPr>
          <w:rFonts w:ascii="宋体" w:hAnsi="宋体"/>
          <w:color w:val="000000"/>
          <w:sz w:val="28"/>
          <w:szCs w:val="28"/>
        </w:rPr>
      </w:pPr>
      <w:r>
        <w:rPr>
          <w:rFonts w:hint="eastAsia" w:ascii="宋体" w:hAnsi="宋体"/>
          <w:color w:val="000000"/>
          <w:sz w:val="28"/>
          <w:szCs w:val="28"/>
        </w:rPr>
        <w:t>11.投标文件的签署及规定</w:t>
      </w:r>
    </w:p>
    <w:p>
      <w:pPr>
        <w:tabs>
          <w:tab w:val="left" w:pos="8280"/>
        </w:tabs>
        <w:ind w:right="-1"/>
        <w:rPr>
          <w:rFonts w:ascii="宋体" w:hAnsi="宋体"/>
          <w:color w:val="000000"/>
          <w:sz w:val="28"/>
          <w:szCs w:val="28"/>
        </w:rPr>
      </w:pPr>
      <w:r>
        <w:rPr>
          <w:rFonts w:hint="eastAsia" w:ascii="宋体" w:hAnsi="宋体"/>
          <w:color w:val="000000"/>
          <w:sz w:val="28"/>
          <w:szCs w:val="28"/>
        </w:rPr>
        <w:t>11.1投标应准备</w:t>
      </w:r>
      <w:r>
        <w:rPr>
          <w:rFonts w:hint="eastAsia" w:ascii="宋体" w:hAnsi="宋体"/>
          <w:b/>
          <w:sz w:val="28"/>
          <w:szCs w:val="28"/>
        </w:rPr>
        <w:t>一</w:t>
      </w:r>
      <w:r>
        <w:rPr>
          <w:rFonts w:hint="eastAsia" w:ascii="宋体" w:hAnsi="宋体"/>
          <w:color w:val="000000"/>
          <w:sz w:val="28"/>
          <w:szCs w:val="28"/>
        </w:rPr>
        <w:t>份正本和两份副本，在每一份投标文件上要明确注明“正本”或“副本”字样，一旦正本和副本有差异，以正本为准。</w:t>
      </w:r>
    </w:p>
    <w:p>
      <w:pPr>
        <w:tabs>
          <w:tab w:val="left" w:pos="8280"/>
        </w:tabs>
        <w:ind w:right="-1"/>
        <w:rPr>
          <w:rFonts w:ascii="宋体" w:hAnsi="宋体"/>
          <w:color w:val="000000"/>
          <w:sz w:val="28"/>
          <w:szCs w:val="28"/>
        </w:rPr>
      </w:pPr>
      <w:r>
        <w:rPr>
          <w:rFonts w:hint="eastAsia" w:ascii="宋体" w:hAnsi="宋体"/>
          <w:color w:val="000000"/>
          <w:sz w:val="28"/>
          <w:szCs w:val="28"/>
        </w:rPr>
        <w:t>12.2投标文件正本和副本可复制但均须由投标方法定代表人或投标方法定代表人授权的委托人签字并加盖公章。</w:t>
      </w:r>
    </w:p>
    <w:p>
      <w:pPr>
        <w:tabs>
          <w:tab w:val="left" w:pos="8280"/>
        </w:tabs>
        <w:ind w:right="-1"/>
        <w:rPr>
          <w:rFonts w:ascii="宋体" w:hAnsi="宋体"/>
          <w:color w:val="000000"/>
          <w:sz w:val="28"/>
          <w:szCs w:val="28"/>
        </w:rPr>
      </w:pPr>
      <w:r>
        <w:rPr>
          <w:rFonts w:hint="eastAsia" w:ascii="宋体" w:hAnsi="宋体"/>
          <w:color w:val="000000"/>
          <w:sz w:val="28"/>
          <w:szCs w:val="28"/>
        </w:rPr>
        <w:t>12.3除投标方对错处作必要的修改外（修改处加盖公章），投标文件中不许有加行、涂改或改写。</w:t>
      </w:r>
    </w:p>
    <w:p>
      <w:pPr>
        <w:tabs>
          <w:tab w:val="left" w:pos="8280"/>
        </w:tabs>
        <w:ind w:right="-1"/>
        <w:rPr>
          <w:rFonts w:ascii="宋体" w:hAnsi="宋体"/>
          <w:color w:val="000000"/>
          <w:sz w:val="28"/>
          <w:szCs w:val="28"/>
        </w:rPr>
      </w:pPr>
      <w:r>
        <w:rPr>
          <w:rFonts w:hint="eastAsia" w:ascii="宋体" w:hAnsi="宋体"/>
          <w:color w:val="000000"/>
          <w:sz w:val="28"/>
          <w:szCs w:val="28"/>
        </w:rPr>
        <w:t>12.4电报、电话、传真形式的投标概不接受。</w:t>
      </w:r>
    </w:p>
    <w:p>
      <w:pPr>
        <w:tabs>
          <w:tab w:val="left" w:pos="8280"/>
        </w:tabs>
        <w:ind w:right="-1"/>
        <w:rPr>
          <w:rFonts w:ascii="宋体" w:hAnsi="宋体"/>
          <w:color w:val="000000"/>
          <w:sz w:val="28"/>
          <w:szCs w:val="28"/>
        </w:rPr>
      </w:pPr>
    </w:p>
    <w:p>
      <w:pPr>
        <w:tabs>
          <w:tab w:val="left" w:pos="8280"/>
        </w:tabs>
        <w:ind w:right="-1"/>
        <w:rPr>
          <w:rFonts w:ascii="宋体" w:hAnsi="宋体"/>
          <w:b/>
          <w:color w:val="000000"/>
          <w:sz w:val="28"/>
          <w:szCs w:val="28"/>
        </w:rPr>
      </w:pPr>
      <w:r>
        <w:rPr>
          <w:rFonts w:hint="eastAsia" w:ascii="宋体" w:hAnsi="宋体"/>
          <w:b/>
          <w:color w:val="000000"/>
          <w:sz w:val="28"/>
          <w:szCs w:val="28"/>
        </w:rPr>
        <w:t>D 投标文件的递交</w:t>
      </w:r>
    </w:p>
    <w:p>
      <w:pPr>
        <w:tabs>
          <w:tab w:val="left" w:pos="8280"/>
        </w:tabs>
        <w:ind w:right="-1"/>
        <w:rPr>
          <w:rFonts w:ascii="宋体" w:hAnsi="宋体"/>
          <w:color w:val="000000"/>
          <w:sz w:val="28"/>
          <w:szCs w:val="28"/>
        </w:rPr>
      </w:pPr>
      <w:r>
        <w:rPr>
          <w:rFonts w:hint="eastAsia" w:ascii="宋体" w:hAnsi="宋体"/>
          <w:color w:val="000000"/>
          <w:sz w:val="28"/>
          <w:szCs w:val="28"/>
        </w:rPr>
        <w:t>13．投标文件的密封和标记</w:t>
      </w:r>
    </w:p>
    <w:p>
      <w:pPr>
        <w:tabs>
          <w:tab w:val="left" w:pos="8280"/>
        </w:tabs>
        <w:ind w:right="-1"/>
        <w:rPr>
          <w:rFonts w:ascii="宋体" w:hAnsi="宋体"/>
          <w:color w:val="000000"/>
          <w:sz w:val="28"/>
          <w:szCs w:val="28"/>
        </w:rPr>
      </w:pPr>
      <w:r>
        <w:rPr>
          <w:rFonts w:hint="eastAsia" w:ascii="宋体" w:hAnsi="宋体"/>
          <w:color w:val="000000"/>
          <w:sz w:val="28"/>
          <w:szCs w:val="28"/>
        </w:rPr>
        <w:t>13.1投标方应将投标文件正本和副本按要求装入招投标专用袋内并密封(密封处贴封条并加盖单位公章)，而且要标明招标编号、投标产品名称。</w:t>
      </w:r>
    </w:p>
    <w:p>
      <w:pPr>
        <w:tabs>
          <w:tab w:val="left" w:pos="1260"/>
        </w:tabs>
        <w:wordWrap w:val="0"/>
        <w:autoSpaceDE w:val="0"/>
        <w:autoSpaceDN w:val="0"/>
        <w:adjustRightInd w:val="0"/>
        <w:spacing w:line="560" w:lineRule="atLeast"/>
        <w:jc w:val="left"/>
        <w:rPr>
          <w:rFonts w:ascii="宋体" w:hAnsi="宋体"/>
          <w:snapToGrid w:val="0"/>
          <w:color w:val="FF0000"/>
          <w:sz w:val="28"/>
          <w:szCs w:val="28"/>
          <w:u w:val="single"/>
        </w:rPr>
      </w:pPr>
      <w:r>
        <w:rPr>
          <w:rFonts w:hint="eastAsia" w:ascii="宋体" w:hAnsi="宋体"/>
          <w:color w:val="000000"/>
          <w:sz w:val="28"/>
          <w:szCs w:val="28"/>
        </w:rPr>
        <w:t>13.2投标文件袋上注</w:t>
      </w:r>
      <w:r>
        <w:rPr>
          <w:rFonts w:hint="eastAsia" w:ascii="宋体" w:hAnsi="宋体"/>
          <w:sz w:val="28"/>
          <w:szCs w:val="28"/>
        </w:rPr>
        <w:t>明“开标前不</w:t>
      </w:r>
      <w:r>
        <w:rPr>
          <w:rFonts w:hint="eastAsia" w:ascii="宋体" w:hAnsi="宋体"/>
          <w:color w:val="000000"/>
          <w:sz w:val="28"/>
          <w:szCs w:val="28"/>
        </w:rPr>
        <w:t>得启封”字样。</w:t>
      </w:r>
    </w:p>
    <w:p>
      <w:pPr>
        <w:tabs>
          <w:tab w:val="left" w:pos="8280"/>
        </w:tabs>
        <w:ind w:right="-1"/>
        <w:rPr>
          <w:rFonts w:ascii="宋体" w:hAnsi="宋体"/>
          <w:color w:val="000000"/>
          <w:sz w:val="28"/>
          <w:szCs w:val="28"/>
        </w:rPr>
      </w:pPr>
      <w:r>
        <w:rPr>
          <w:rFonts w:hint="eastAsia" w:ascii="宋体" w:hAnsi="宋体"/>
          <w:color w:val="000000"/>
          <w:sz w:val="28"/>
          <w:szCs w:val="28"/>
        </w:rPr>
        <w:t>13.3投标文件由投标方法定代表人或法定代表人授权的委托代理人按规定时间送至招标人处。</w:t>
      </w:r>
    </w:p>
    <w:p>
      <w:pPr>
        <w:tabs>
          <w:tab w:val="left" w:pos="8280"/>
        </w:tabs>
        <w:ind w:right="-1"/>
        <w:rPr>
          <w:rFonts w:ascii="宋体" w:hAnsi="宋体"/>
          <w:color w:val="000000"/>
          <w:sz w:val="28"/>
          <w:szCs w:val="28"/>
        </w:rPr>
      </w:pPr>
    </w:p>
    <w:p>
      <w:pPr>
        <w:tabs>
          <w:tab w:val="left" w:pos="8280"/>
        </w:tabs>
        <w:ind w:right="-1"/>
        <w:rPr>
          <w:rFonts w:ascii="宋体" w:hAnsi="宋体"/>
          <w:color w:val="000000"/>
          <w:sz w:val="28"/>
          <w:szCs w:val="28"/>
        </w:rPr>
      </w:pPr>
      <w:r>
        <w:rPr>
          <w:rFonts w:hint="eastAsia" w:ascii="宋体" w:hAnsi="宋体"/>
          <w:b/>
          <w:color w:val="000000"/>
          <w:sz w:val="28"/>
          <w:szCs w:val="28"/>
        </w:rPr>
        <w:t>E开标和评标</w:t>
      </w:r>
    </w:p>
    <w:p>
      <w:pPr>
        <w:tabs>
          <w:tab w:val="left" w:pos="8280"/>
        </w:tabs>
        <w:ind w:left="840" w:right="-1" w:hanging="840"/>
        <w:outlineLvl w:val="0"/>
        <w:rPr>
          <w:rFonts w:ascii="宋体" w:hAnsi="宋体"/>
          <w:color w:val="000000"/>
          <w:sz w:val="28"/>
          <w:szCs w:val="28"/>
        </w:rPr>
      </w:pPr>
      <w:r>
        <w:rPr>
          <w:rFonts w:hint="eastAsia" w:ascii="宋体" w:hAnsi="宋体"/>
          <w:color w:val="000000"/>
          <w:sz w:val="28"/>
          <w:szCs w:val="28"/>
        </w:rPr>
        <w:t>14.评标原则和方法</w:t>
      </w:r>
    </w:p>
    <w:p>
      <w:pPr>
        <w:tabs>
          <w:tab w:val="left" w:pos="8280"/>
        </w:tabs>
        <w:ind w:left="840" w:right="-1" w:hanging="840"/>
        <w:outlineLvl w:val="0"/>
        <w:rPr>
          <w:rFonts w:ascii="宋体" w:hAnsi="宋体"/>
          <w:color w:val="000000"/>
          <w:sz w:val="28"/>
          <w:szCs w:val="28"/>
        </w:rPr>
      </w:pPr>
      <w:r>
        <w:rPr>
          <w:rFonts w:hint="eastAsia" w:ascii="宋体" w:hAnsi="宋体"/>
          <w:color w:val="000000"/>
          <w:sz w:val="28"/>
          <w:szCs w:val="28"/>
        </w:rPr>
        <w:t>14.1招标人对本次招标不进行现场开标。</w:t>
      </w:r>
    </w:p>
    <w:p>
      <w:pPr>
        <w:tabs>
          <w:tab w:val="left" w:pos="8280"/>
        </w:tabs>
        <w:ind w:right="-1"/>
        <w:rPr>
          <w:rFonts w:ascii="宋体" w:hAnsi="宋体"/>
          <w:color w:val="000000"/>
          <w:sz w:val="28"/>
          <w:szCs w:val="28"/>
        </w:rPr>
      </w:pPr>
      <w:r>
        <w:rPr>
          <w:rFonts w:hint="eastAsia" w:ascii="宋体" w:hAnsi="宋体"/>
          <w:color w:val="000000"/>
          <w:sz w:val="28"/>
          <w:szCs w:val="28"/>
        </w:rPr>
        <w:t>14.2评标委员会对每一个投标条件进行比较。</w:t>
      </w:r>
    </w:p>
    <w:p>
      <w:pPr>
        <w:tabs>
          <w:tab w:val="left" w:pos="8280"/>
        </w:tabs>
        <w:ind w:right="-1"/>
        <w:rPr>
          <w:rFonts w:ascii="宋体" w:hAnsi="宋体"/>
          <w:color w:val="000000"/>
          <w:sz w:val="28"/>
          <w:szCs w:val="28"/>
        </w:rPr>
      </w:pPr>
      <w:r>
        <w:rPr>
          <w:rFonts w:hint="eastAsia" w:ascii="宋体" w:hAnsi="宋体"/>
          <w:color w:val="000000"/>
          <w:sz w:val="28"/>
          <w:szCs w:val="28"/>
        </w:rPr>
        <w:t>14.3对其内容进行分析比较：</w:t>
      </w:r>
    </w:p>
    <w:p>
      <w:pPr>
        <w:tabs>
          <w:tab w:val="left" w:pos="8280"/>
        </w:tabs>
        <w:ind w:right="-1"/>
        <w:rPr>
          <w:rFonts w:ascii="宋体" w:hAnsi="宋体"/>
          <w:color w:val="000000"/>
          <w:sz w:val="28"/>
          <w:szCs w:val="28"/>
        </w:rPr>
      </w:pPr>
      <w:r>
        <w:rPr>
          <w:rFonts w:hint="eastAsia" w:ascii="宋体" w:hAnsi="宋体"/>
          <w:color w:val="000000"/>
          <w:sz w:val="28"/>
          <w:szCs w:val="28"/>
        </w:rPr>
        <w:t>（1）投标价格；</w:t>
      </w:r>
    </w:p>
    <w:p>
      <w:pPr>
        <w:tabs>
          <w:tab w:val="left" w:pos="8280"/>
        </w:tabs>
        <w:ind w:right="-1"/>
        <w:rPr>
          <w:rFonts w:ascii="宋体" w:hAnsi="宋体"/>
          <w:color w:val="000000"/>
          <w:sz w:val="28"/>
          <w:szCs w:val="28"/>
        </w:rPr>
      </w:pPr>
      <w:r>
        <w:rPr>
          <w:rFonts w:hint="eastAsia" w:ascii="宋体" w:hAnsi="宋体"/>
          <w:color w:val="000000"/>
          <w:sz w:val="28"/>
          <w:szCs w:val="28"/>
        </w:rPr>
        <w:t>（2）投标方整体实力；</w:t>
      </w:r>
    </w:p>
    <w:p>
      <w:pPr>
        <w:tabs>
          <w:tab w:val="left" w:pos="8280"/>
        </w:tabs>
        <w:ind w:right="-1"/>
        <w:rPr>
          <w:rFonts w:ascii="宋体" w:hAnsi="宋体"/>
          <w:color w:val="000000"/>
          <w:sz w:val="28"/>
          <w:szCs w:val="28"/>
        </w:rPr>
      </w:pPr>
      <w:r>
        <w:rPr>
          <w:rFonts w:hint="eastAsia" w:ascii="宋体" w:hAnsi="宋体"/>
          <w:color w:val="000000"/>
          <w:sz w:val="28"/>
          <w:szCs w:val="28"/>
        </w:rPr>
        <w:t>（3）技术实力（售后服务能力，实施案例）；</w:t>
      </w:r>
    </w:p>
    <w:p>
      <w:pPr>
        <w:tabs>
          <w:tab w:val="left" w:pos="8280"/>
        </w:tabs>
        <w:ind w:right="-1"/>
        <w:rPr>
          <w:rFonts w:ascii="宋体" w:hAnsi="宋体"/>
          <w:color w:val="000000"/>
          <w:sz w:val="28"/>
          <w:szCs w:val="28"/>
        </w:rPr>
      </w:pPr>
      <w:r>
        <w:rPr>
          <w:rFonts w:hint="eastAsia" w:ascii="宋体" w:hAnsi="宋体"/>
          <w:color w:val="000000"/>
          <w:sz w:val="28"/>
          <w:szCs w:val="28"/>
        </w:rPr>
        <w:t>（4）投标者的资信情况和履约能力；</w:t>
      </w:r>
    </w:p>
    <w:p>
      <w:pPr>
        <w:tabs>
          <w:tab w:val="left" w:pos="8280"/>
        </w:tabs>
        <w:ind w:right="-1"/>
        <w:rPr>
          <w:rFonts w:ascii="宋体" w:hAnsi="宋体"/>
          <w:color w:val="000000"/>
          <w:sz w:val="28"/>
          <w:szCs w:val="28"/>
        </w:rPr>
      </w:pPr>
      <w:r>
        <w:rPr>
          <w:rFonts w:hint="eastAsia" w:ascii="宋体" w:hAnsi="宋体"/>
          <w:color w:val="000000"/>
          <w:sz w:val="28"/>
          <w:szCs w:val="28"/>
        </w:rPr>
        <w:t>（5）投标者提供的其他优惠条件。</w:t>
      </w:r>
    </w:p>
    <w:p>
      <w:pPr>
        <w:tabs>
          <w:tab w:val="left" w:pos="8280"/>
        </w:tabs>
        <w:ind w:right="-1"/>
        <w:rPr>
          <w:rFonts w:ascii="宋体" w:hAnsi="宋体"/>
          <w:color w:val="FF0000"/>
          <w:sz w:val="28"/>
          <w:szCs w:val="28"/>
        </w:rPr>
      </w:pPr>
      <w:r>
        <w:rPr>
          <w:rFonts w:hint="eastAsia" w:ascii="宋体" w:hAnsi="宋体"/>
          <w:color w:val="000000"/>
          <w:sz w:val="28"/>
          <w:szCs w:val="28"/>
        </w:rPr>
        <w:t>14.4综合分析比较以上各项</w:t>
      </w:r>
      <w:r>
        <w:rPr>
          <w:rFonts w:hint="eastAsia" w:ascii="宋体" w:hAnsi="宋体"/>
          <w:sz w:val="28"/>
          <w:szCs w:val="28"/>
        </w:rPr>
        <w:t>，评委将根据上述各项得出评标结论。</w:t>
      </w:r>
    </w:p>
    <w:p>
      <w:pPr>
        <w:tabs>
          <w:tab w:val="left" w:pos="8280"/>
        </w:tabs>
        <w:ind w:right="-1"/>
        <w:rPr>
          <w:rFonts w:ascii="宋体" w:hAnsi="宋体"/>
          <w:color w:val="000000"/>
          <w:sz w:val="28"/>
          <w:szCs w:val="28"/>
        </w:rPr>
      </w:pPr>
      <w:r>
        <w:rPr>
          <w:rFonts w:hint="eastAsia" w:ascii="宋体" w:hAnsi="宋体"/>
          <w:color w:val="000000"/>
          <w:sz w:val="28"/>
          <w:szCs w:val="28"/>
        </w:rPr>
        <w:t>15.其他注意事项</w:t>
      </w:r>
    </w:p>
    <w:p>
      <w:pPr>
        <w:tabs>
          <w:tab w:val="left" w:pos="8280"/>
        </w:tabs>
        <w:ind w:right="-1"/>
        <w:rPr>
          <w:rFonts w:ascii="宋体" w:hAnsi="宋体"/>
          <w:color w:val="000000"/>
          <w:sz w:val="28"/>
          <w:szCs w:val="28"/>
        </w:rPr>
      </w:pPr>
      <w:r>
        <w:rPr>
          <w:rFonts w:hint="eastAsia" w:ascii="宋体" w:hAnsi="宋体"/>
          <w:color w:val="000000"/>
          <w:sz w:val="28"/>
          <w:szCs w:val="28"/>
        </w:rPr>
        <w:t>15.1评标委员会将按照公开、公平、公正的原则对待所有投标方。</w:t>
      </w:r>
    </w:p>
    <w:p>
      <w:pPr>
        <w:rPr>
          <w:rFonts w:ascii="宋体" w:hAnsi="宋体"/>
          <w:color w:val="000000"/>
          <w:sz w:val="28"/>
          <w:szCs w:val="28"/>
        </w:rPr>
      </w:pPr>
      <w:r>
        <w:rPr>
          <w:rFonts w:hint="eastAsia" w:ascii="宋体" w:hAnsi="宋体"/>
          <w:color w:val="000000"/>
          <w:sz w:val="28"/>
          <w:szCs w:val="28"/>
        </w:rPr>
        <w:t>15.2 评标是招标工作的重要环节，评标工作在评标委员会内独立进行。</w:t>
      </w:r>
    </w:p>
    <w:p>
      <w:pPr>
        <w:tabs>
          <w:tab w:val="left" w:pos="8280"/>
        </w:tabs>
        <w:ind w:right="-1"/>
        <w:rPr>
          <w:rFonts w:ascii="宋体" w:hAnsi="宋体"/>
          <w:color w:val="000000"/>
          <w:sz w:val="28"/>
          <w:szCs w:val="28"/>
        </w:rPr>
      </w:pPr>
      <w:r>
        <w:rPr>
          <w:rFonts w:hint="eastAsia" w:ascii="宋体" w:hAnsi="宋体"/>
          <w:color w:val="000000"/>
          <w:sz w:val="28"/>
          <w:szCs w:val="28"/>
        </w:rPr>
        <w:t>15.3在投标、开标期间，投标人不得向评委询问情况，不得进行旨在影响评标结果的活动，招标方保留对投标人进行疑问咨询的权力。</w:t>
      </w:r>
    </w:p>
    <w:p>
      <w:pPr>
        <w:tabs>
          <w:tab w:val="left" w:pos="8280"/>
        </w:tabs>
        <w:ind w:right="-1"/>
        <w:rPr>
          <w:rFonts w:ascii="宋体" w:hAnsi="宋体"/>
          <w:color w:val="000000"/>
          <w:sz w:val="28"/>
          <w:szCs w:val="28"/>
        </w:rPr>
      </w:pPr>
      <w:r>
        <w:rPr>
          <w:rFonts w:hint="eastAsia" w:ascii="宋体" w:hAnsi="宋体"/>
          <w:color w:val="000000"/>
          <w:sz w:val="28"/>
          <w:szCs w:val="28"/>
        </w:rPr>
        <w:t>15.4评标委员会不向落标方解释落标原因，不退还投标文件。</w:t>
      </w:r>
    </w:p>
    <w:p>
      <w:pPr>
        <w:tabs>
          <w:tab w:val="left" w:pos="8280"/>
        </w:tabs>
        <w:ind w:right="-1"/>
        <w:rPr>
          <w:rFonts w:ascii="宋体" w:hAnsi="宋体"/>
          <w:color w:val="000000"/>
          <w:sz w:val="28"/>
          <w:szCs w:val="28"/>
        </w:rPr>
      </w:pPr>
      <w:r>
        <w:rPr>
          <w:rFonts w:hint="eastAsia" w:ascii="宋体" w:hAnsi="宋体"/>
          <w:color w:val="000000"/>
          <w:sz w:val="28"/>
          <w:szCs w:val="28"/>
        </w:rPr>
        <w:t>15.5在投标、评标过程中，如有投标人联合故意抬高报价或其他不正当行为，招标方有权中止投标或评标。</w:t>
      </w:r>
    </w:p>
    <w:p>
      <w:pPr>
        <w:tabs>
          <w:tab w:val="left" w:pos="8280"/>
        </w:tabs>
        <w:ind w:left="840" w:right="-1" w:hanging="840"/>
        <w:rPr>
          <w:rFonts w:ascii="宋体" w:hAnsi="宋体"/>
          <w:color w:val="000000"/>
          <w:sz w:val="28"/>
          <w:szCs w:val="28"/>
        </w:rPr>
      </w:pPr>
      <w:r>
        <w:rPr>
          <w:rFonts w:hint="eastAsia" w:ascii="宋体" w:hAnsi="宋体"/>
          <w:color w:val="000000"/>
          <w:sz w:val="28"/>
          <w:szCs w:val="28"/>
        </w:rPr>
        <w:t>15.6江苏常熟农村商业银行股份有限公司保留对本次招标的最终解释权。</w:t>
      </w:r>
    </w:p>
    <w:p>
      <w:pPr>
        <w:rPr>
          <w:rFonts w:ascii="宋体" w:hAnsi="宋体"/>
          <w:b/>
          <w:color w:val="000000"/>
          <w:sz w:val="28"/>
          <w:szCs w:val="28"/>
        </w:rPr>
      </w:pPr>
    </w:p>
    <w:p>
      <w:pPr>
        <w:rPr>
          <w:rFonts w:ascii="宋体" w:hAnsi="宋体"/>
          <w:color w:val="000000"/>
          <w:sz w:val="28"/>
          <w:szCs w:val="28"/>
        </w:rPr>
      </w:pPr>
      <w:r>
        <w:rPr>
          <w:rFonts w:hint="eastAsia" w:ascii="宋体" w:hAnsi="宋体"/>
          <w:b/>
          <w:color w:val="000000"/>
          <w:sz w:val="28"/>
          <w:szCs w:val="28"/>
        </w:rPr>
        <w:t>F中标与签署合同</w:t>
      </w:r>
    </w:p>
    <w:p>
      <w:pPr>
        <w:rPr>
          <w:rFonts w:ascii="宋体" w:hAnsi="宋体"/>
          <w:color w:val="000000"/>
          <w:sz w:val="28"/>
          <w:szCs w:val="28"/>
        </w:rPr>
      </w:pPr>
      <w:r>
        <w:rPr>
          <w:rFonts w:hint="eastAsia" w:ascii="宋体" w:hAnsi="宋体"/>
          <w:color w:val="000000"/>
          <w:sz w:val="28"/>
          <w:szCs w:val="28"/>
        </w:rPr>
        <w:t>16.定标的原则</w:t>
      </w:r>
    </w:p>
    <w:p>
      <w:pPr>
        <w:tabs>
          <w:tab w:val="left" w:pos="8280"/>
        </w:tabs>
        <w:ind w:right="-1"/>
        <w:rPr>
          <w:rFonts w:ascii="宋体" w:hAnsi="宋体"/>
          <w:color w:val="000000"/>
          <w:sz w:val="28"/>
          <w:szCs w:val="28"/>
        </w:rPr>
      </w:pPr>
      <w:r>
        <w:rPr>
          <w:rFonts w:hint="eastAsia" w:ascii="宋体" w:hAnsi="宋体"/>
          <w:color w:val="000000"/>
          <w:sz w:val="28"/>
          <w:szCs w:val="28"/>
        </w:rPr>
        <w:t>16.1严格按照招标文件的要求和条件进行评标，择优定标。</w:t>
      </w:r>
    </w:p>
    <w:p>
      <w:pPr>
        <w:tabs>
          <w:tab w:val="left" w:pos="8280"/>
        </w:tabs>
        <w:ind w:right="-1"/>
        <w:rPr>
          <w:rFonts w:ascii="宋体" w:hAnsi="宋体"/>
          <w:color w:val="000000"/>
          <w:sz w:val="28"/>
          <w:szCs w:val="28"/>
        </w:rPr>
      </w:pPr>
      <w:r>
        <w:rPr>
          <w:rFonts w:hint="eastAsia" w:ascii="宋体" w:hAnsi="宋体"/>
          <w:color w:val="000000"/>
          <w:sz w:val="28"/>
          <w:szCs w:val="28"/>
        </w:rPr>
        <w:t>16.2本次招标，中标单位将授予符合招标文件要求，并且价格性能比最优的投标者。</w:t>
      </w:r>
    </w:p>
    <w:p>
      <w:pPr>
        <w:tabs>
          <w:tab w:val="left" w:pos="8280"/>
        </w:tabs>
        <w:ind w:right="-1"/>
        <w:rPr>
          <w:rFonts w:ascii="宋体" w:hAnsi="宋体"/>
          <w:color w:val="000000"/>
          <w:sz w:val="28"/>
          <w:szCs w:val="28"/>
        </w:rPr>
      </w:pPr>
      <w:r>
        <w:rPr>
          <w:rFonts w:hint="eastAsia" w:ascii="宋体" w:hAnsi="宋体"/>
          <w:color w:val="000000"/>
          <w:sz w:val="28"/>
          <w:szCs w:val="28"/>
        </w:rPr>
        <w:t>17.中标通知</w:t>
      </w:r>
    </w:p>
    <w:p>
      <w:pPr>
        <w:tabs>
          <w:tab w:val="left" w:pos="8280"/>
        </w:tabs>
        <w:ind w:right="-1"/>
        <w:rPr>
          <w:rFonts w:ascii="宋体" w:hAnsi="宋体"/>
          <w:color w:val="000000"/>
          <w:sz w:val="28"/>
          <w:szCs w:val="28"/>
        </w:rPr>
      </w:pPr>
      <w:r>
        <w:rPr>
          <w:rFonts w:hint="eastAsia" w:ascii="宋体" w:hAnsi="宋体"/>
          <w:color w:val="000000"/>
          <w:sz w:val="28"/>
          <w:szCs w:val="28"/>
        </w:rPr>
        <w:t>17.1评标结束后，由</w:t>
      </w:r>
      <w:r>
        <w:rPr>
          <w:rFonts w:hint="eastAsia" w:ascii="宋体" w:hAnsi="宋体"/>
          <w:snapToGrid w:val="0"/>
          <w:color w:val="000000"/>
          <w:sz w:val="28"/>
        </w:rPr>
        <w:t>江苏常熟农村商业银行股份有限公司</w:t>
      </w:r>
      <w:r>
        <w:rPr>
          <w:rFonts w:hint="eastAsia" w:ascii="宋体" w:hAnsi="宋体"/>
          <w:color w:val="000000"/>
          <w:sz w:val="28"/>
          <w:szCs w:val="28"/>
        </w:rPr>
        <w:t>在其官方网站上发布中标公告。</w:t>
      </w:r>
    </w:p>
    <w:p>
      <w:pPr>
        <w:tabs>
          <w:tab w:val="left" w:pos="8280"/>
        </w:tabs>
        <w:ind w:right="-1"/>
        <w:rPr>
          <w:rFonts w:ascii="宋体" w:hAnsi="宋体"/>
          <w:color w:val="000000"/>
          <w:sz w:val="28"/>
          <w:szCs w:val="28"/>
        </w:rPr>
      </w:pPr>
      <w:r>
        <w:rPr>
          <w:rFonts w:hint="eastAsia" w:ascii="宋体" w:hAnsi="宋体"/>
          <w:color w:val="000000"/>
          <w:sz w:val="28"/>
          <w:szCs w:val="28"/>
        </w:rPr>
        <w:t>18.签订合同</w:t>
      </w:r>
    </w:p>
    <w:p>
      <w:pPr>
        <w:tabs>
          <w:tab w:val="left" w:pos="8280"/>
        </w:tabs>
        <w:ind w:right="-1"/>
        <w:rPr>
          <w:rFonts w:ascii="宋体" w:hAnsi="宋体"/>
          <w:color w:val="000000"/>
          <w:sz w:val="28"/>
          <w:szCs w:val="28"/>
        </w:rPr>
      </w:pPr>
      <w:r>
        <w:rPr>
          <w:rFonts w:hint="eastAsia" w:ascii="宋体" w:hAnsi="宋体"/>
          <w:color w:val="000000"/>
          <w:sz w:val="28"/>
          <w:szCs w:val="28"/>
        </w:rPr>
        <w:t>18.1签订合同之前，双方需对合同的具体细节进行商谈。</w:t>
      </w:r>
    </w:p>
    <w:p>
      <w:pPr>
        <w:tabs>
          <w:tab w:val="left" w:pos="8280"/>
        </w:tabs>
        <w:ind w:right="-1"/>
        <w:rPr>
          <w:rFonts w:ascii="宋体" w:hAnsi="宋体"/>
          <w:color w:val="000000"/>
          <w:sz w:val="28"/>
          <w:szCs w:val="28"/>
        </w:rPr>
      </w:pPr>
      <w:r>
        <w:rPr>
          <w:rFonts w:hint="eastAsia" w:ascii="宋体" w:hAnsi="宋体"/>
          <w:color w:val="000000"/>
          <w:sz w:val="28"/>
          <w:szCs w:val="28"/>
        </w:rPr>
        <w:t>18.2中标方按中标公告，在指定的时间、地点与招标方签订合同。</w:t>
      </w:r>
    </w:p>
    <w:p>
      <w:pPr>
        <w:tabs>
          <w:tab w:val="left" w:pos="8280"/>
        </w:tabs>
        <w:ind w:right="-1"/>
        <w:jc w:val="center"/>
        <w:rPr>
          <w:rFonts w:ascii="宋体" w:hAnsi="宋体"/>
          <w:color w:val="000000"/>
          <w:sz w:val="28"/>
          <w:szCs w:val="28"/>
        </w:rPr>
      </w:pPr>
      <w:r>
        <w:rPr>
          <w:rFonts w:hint="eastAsia" w:ascii="宋体" w:hAnsi="宋体"/>
          <w:color w:val="000000"/>
          <w:sz w:val="28"/>
          <w:szCs w:val="28"/>
        </w:rPr>
        <w:t>18.3招标文件、中标方的投标文件及其澄清文件等，均为签订合同的依据。</w:t>
      </w:r>
    </w:p>
    <w:p>
      <w:pPr>
        <w:tabs>
          <w:tab w:val="left" w:pos="8280"/>
        </w:tabs>
        <w:ind w:right="-1"/>
        <w:jc w:val="center"/>
        <w:rPr>
          <w:rFonts w:ascii="宋体" w:hAnsi="宋体"/>
          <w:color w:val="000000"/>
          <w:sz w:val="28"/>
          <w:szCs w:val="28"/>
        </w:rPr>
      </w:pPr>
    </w:p>
    <w:p>
      <w:pPr>
        <w:tabs>
          <w:tab w:val="left" w:pos="8280"/>
        </w:tabs>
        <w:ind w:right="-1"/>
        <w:jc w:val="center"/>
        <w:rPr>
          <w:rFonts w:ascii="宋体" w:hAnsi="宋体"/>
          <w:b/>
          <w:color w:val="000000"/>
          <w:sz w:val="28"/>
          <w:szCs w:val="28"/>
        </w:rPr>
      </w:pPr>
      <w:r>
        <w:rPr>
          <w:rFonts w:ascii="宋体" w:hAnsi="宋体"/>
          <w:b/>
          <w:color w:val="000000"/>
          <w:sz w:val="28"/>
          <w:szCs w:val="28"/>
        </w:rPr>
        <w:br w:type="page"/>
      </w:r>
      <w:r>
        <w:rPr>
          <w:rFonts w:hint="eastAsia" w:ascii="宋体" w:hAnsi="宋体"/>
          <w:b/>
          <w:color w:val="000000"/>
          <w:sz w:val="32"/>
          <w:szCs w:val="32"/>
        </w:rPr>
        <w:t>第五部分</w:t>
      </w:r>
      <w:bookmarkStart w:id="2" w:name="投标文件格式"/>
      <w:r>
        <w:rPr>
          <w:rFonts w:hint="eastAsia" w:ascii="宋体" w:hAnsi="宋体"/>
          <w:b/>
          <w:color w:val="000000"/>
          <w:sz w:val="32"/>
          <w:szCs w:val="32"/>
        </w:rPr>
        <w:t xml:space="preserve">  投标文件格式</w:t>
      </w:r>
      <w:bookmarkEnd w:id="2"/>
    </w:p>
    <w:p>
      <w:pPr>
        <w:pStyle w:val="16"/>
        <w:adjustRightInd w:val="0"/>
        <w:spacing w:line="560" w:lineRule="atLeast"/>
        <w:rPr>
          <w:rFonts w:hAnsi="宋体" w:eastAsia="宋体"/>
          <w:b/>
          <w:color w:val="000000"/>
          <w:sz w:val="28"/>
          <w:szCs w:val="28"/>
        </w:rPr>
      </w:pPr>
      <w:r>
        <w:rPr>
          <w:rFonts w:hAnsi="宋体" w:eastAsia="宋体"/>
          <w:b/>
          <w:color w:val="000000"/>
          <w:sz w:val="28"/>
          <w:szCs w:val="28"/>
        </w:rPr>
        <w:t>附件1</w:t>
      </w:r>
    </w:p>
    <w:p>
      <w:pPr>
        <w:pStyle w:val="16"/>
        <w:adjustRightInd w:val="0"/>
        <w:jc w:val="center"/>
        <w:rPr>
          <w:rFonts w:hAnsi="宋体" w:eastAsia="宋体"/>
          <w:b/>
          <w:snapToGrid w:val="0"/>
          <w:color w:val="000000"/>
          <w:sz w:val="32"/>
          <w:szCs w:val="32"/>
        </w:rPr>
      </w:pPr>
      <w:r>
        <w:rPr>
          <w:rFonts w:hAnsi="宋体" w:eastAsia="宋体"/>
          <w:b/>
          <w:snapToGrid w:val="0"/>
          <w:color w:val="000000"/>
          <w:sz w:val="32"/>
          <w:szCs w:val="32"/>
        </w:rPr>
        <w:t>投  标  书</w:t>
      </w:r>
    </w:p>
    <w:p>
      <w:pPr>
        <w:pStyle w:val="16"/>
        <w:adjustRightInd w:val="0"/>
        <w:rPr>
          <w:rFonts w:hAnsi="宋体" w:eastAsia="宋体"/>
          <w:snapToGrid w:val="0"/>
          <w:color w:val="000000"/>
          <w:sz w:val="28"/>
          <w:szCs w:val="28"/>
        </w:rPr>
      </w:pPr>
      <w:r>
        <w:rPr>
          <w:rFonts w:hAnsi="宋体" w:eastAsia="宋体"/>
          <w:snapToGrid w:val="0"/>
          <w:color w:val="000000"/>
          <w:sz w:val="28"/>
          <w:szCs w:val="28"/>
        </w:rPr>
        <w:t>致：</w:t>
      </w:r>
      <w:r>
        <w:rPr>
          <w:rFonts w:hAnsi="宋体" w:eastAsia="宋体"/>
          <w:snapToGrid w:val="0"/>
          <w:color w:val="000000"/>
          <w:sz w:val="28"/>
        </w:rPr>
        <w:t>江苏常熟农村商业银行股份有限公司</w:t>
      </w:r>
    </w:p>
    <w:p>
      <w:pPr>
        <w:autoSpaceDE w:val="0"/>
        <w:autoSpaceDN w:val="0"/>
        <w:adjustRightInd w:val="0"/>
        <w:ind w:firstLine="624"/>
        <w:jc w:val="left"/>
        <w:rPr>
          <w:rFonts w:ascii="宋体" w:hAnsi="宋体"/>
          <w:snapToGrid w:val="0"/>
          <w:sz w:val="28"/>
          <w:szCs w:val="28"/>
        </w:rPr>
      </w:pPr>
      <w:r>
        <w:rPr>
          <w:rFonts w:hint="eastAsia" w:ascii="宋体" w:hAnsi="宋体"/>
          <w:snapToGrid w:val="0"/>
          <w:color w:val="000000"/>
          <w:sz w:val="28"/>
          <w:szCs w:val="28"/>
        </w:rPr>
        <w:t>根</w:t>
      </w:r>
      <w:r>
        <w:rPr>
          <w:rFonts w:hint="eastAsia" w:ascii="宋体" w:hAnsi="宋体"/>
          <w:snapToGrid w:val="0"/>
          <w:color w:val="000000"/>
          <w:sz w:val="28"/>
          <w:szCs w:val="20"/>
        </w:rPr>
        <w:t>据贵方“UPS</w:t>
      </w:r>
      <w:r>
        <w:rPr>
          <w:rFonts w:ascii="宋体" w:hAnsi="宋体"/>
          <w:snapToGrid w:val="0"/>
          <w:color w:val="000000"/>
          <w:sz w:val="28"/>
          <w:szCs w:val="20"/>
        </w:rPr>
        <w:t>设备</w:t>
      </w:r>
      <w:r>
        <w:rPr>
          <w:rFonts w:hint="eastAsia" w:ascii="宋体" w:hAnsi="宋体"/>
          <w:snapToGrid w:val="0"/>
          <w:color w:val="000000"/>
          <w:sz w:val="28"/>
          <w:szCs w:val="20"/>
        </w:rPr>
        <w:t>采购”</w:t>
      </w:r>
      <w:r>
        <w:rPr>
          <w:rFonts w:hint="eastAsia" w:ascii="宋体" w:hAnsi="宋体"/>
          <w:snapToGrid w:val="0"/>
          <w:color w:val="000000"/>
          <w:sz w:val="28"/>
        </w:rPr>
        <w:t>公告</w:t>
      </w:r>
      <w:r>
        <w:rPr>
          <w:rFonts w:hint="eastAsia" w:ascii="宋体" w:hAnsi="宋体"/>
          <w:snapToGrid w:val="0"/>
          <w:color w:val="000000"/>
          <w:sz w:val="28"/>
          <w:szCs w:val="28"/>
        </w:rPr>
        <w:t>，我公司提交下述</w:t>
      </w:r>
      <w:r>
        <w:rPr>
          <w:rFonts w:hint="eastAsia" w:ascii="宋体" w:hAnsi="宋体"/>
          <w:snapToGrid w:val="0"/>
          <w:sz w:val="28"/>
          <w:szCs w:val="28"/>
        </w:rPr>
        <w:t>文件正本一份，副本两份，并保证其真实性。</w:t>
      </w:r>
    </w:p>
    <w:p>
      <w:pPr>
        <w:autoSpaceDE w:val="0"/>
        <w:autoSpaceDN w:val="0"/>
        <w:adjustRightInd w:val="0"/>
        <w:jc w:val="left"/>
        <w:rPr>
          <w:rFonts w:ascii="宋体" w:hAnsi="宋体"/>
          <w:snapToGrid w:val="0"/>
          <w:color w:val="000000"/>
          <w:sz w:val="28"/>
          <w:szCs w:val="28"/>
        </w:rPr>
      </w:pPr>
      <w:r>
        <w:rPr>
          <w:rFonts w:hint="eastAsia" w:ascii="宋体" w:hAnsi="宋体"/>
          <w:snapToGrid w:val="0"/>
          <w:color w:val="000000"/>
          <w:sz w:val="28"/>
          <w:szCs w:val="28"/>
        </w:rPr>
        <w:t>（1）投标价格一览表</w:t>
      </w:r>
    </w:p>
    <w:p>
      <w:pPr>
        <w:autoSpaceDE w:val="0"/>
        <w:autoSpaceDN w:val="0"/>
        <w:adjustRightInd w:val="0"/>
        <w:jc w:val="left"/>
        <w:rPr>
          <w:rFonts w:ascii="宋体" w:hAnsi="宋体"/>
          <w:snapToGrid w:val="0"/>
          <w:color w:val="000000"/>
          <w:sz w:val="28"/>
          <w:szCs w:val="28"/>
        </w:rPr>
      </w:pPr>
      <w:r>
        <w:rPr>
          <w:rFonts w:hint="eastAsia" w:ascii="宋体" w:hAnsi="宋体"/>
          <w:snapToGrid w:val="0"/>
          <w:color w:val="000000"/>
          <w:sz w:val="28"/>
          <w:szCs w:val="28"/>
        </w:rPr>
        <w:t>（2）售后服务计划</w:t>
      </w:r>
    </w:p>
    <w:p>
      <w:pPr>
        <w:autoSpaceDE w:val="0"/>
        <w:autoSpaceDN w:val="0"/>
        <w:adjustRightInd w:val="0"/>
        <w:jc w:val="left"/>
        <w:rPr>
          <w:rFonts w:ascii="宋体" w:hAnsi="宋体"/>
          <w:snapToGrid w:val="0"/>
          <w:color w:val="000000"/>
          <w:sz w:val="28"/>
          <w:szCs w:val="28"/>
        </w:rPr>
      </w:pPr>
      <w:r>
        <w:rPr>
          <w:rFonts w:hint="eastAsia" w:ascii="宋体" w:hAnsi="宋体"/>
          <w:snapToGrid w:val="0"/>
          <w:color w:val="000000"/>
          <w:sz w:val="28"/>
          <w:szCs w:val="28"/>
        </w:rPr>
        <w:t>（3）投标人情况简介</w:t>
      </w:r>
    </w:p>
    <w:p>
      <w:pPr>
        <w:autoSpaceDE w:val="0"/>
        <w:autoSpaceDN w:val="0"/>
        <w:adjustRightInd w:val="0"/>
        <w:jc w:val="left"/>
        <w:rPr>
          <w:rFonts w:ascii="宋体" w:hAnsi="宋体"/>
          <w:snapToGrid w:val="0"/>
          <w:color w:val="000000"/>
          <w:sz w:val="28"/>
          <w:szCs w:val="28"/>
        </w:rPr>
      </w:pPr>
      <w:r>
        <w:rPr>
          <w:rFonts w:hint="eastAsia" w:ascii="宋体" w:hAnsi="宋体"/>
          <w:snapToGrid w:val="0"/>
          <w:color w:val="000000"/>
          <w:sz w:val="28"/>
          <w:szCs w:val="28"/>
        </w:rPr>
        <w:t>（4）投标人资格证明文件(投标人营业执照复印件并加盖单位公章)</w:t>
      </w:r>
    </w:p>
    <w:p>
      <w:pPr>
        <w:autoSpaceDE w:val="0"/>
        <w:autoSpaceDN w:val="0"/>
        <w:adjustRightInd w:val="0"/>
        <w:jc w:val="left"/>
        <w:rPr>
          <w:rFonts w:ascii="宋体" w:hAnsi="宋体"/>
          <w:snapToGrid w:val="0"/>
          <w:color w:val="000000"/>
          <w:sz w:val="28"/>
          <w:szCs w:val="28"/>
        </w:rPr>
      </w:pPr>
      <w:r>
        <w:rPr>
          <w:rFonts w:hint="eastAsia" w:ascii="宋体" w:hAnsi="宋体"/>
          <w:snapToGrid w:val="0"/>
          <w:color w:val="000000"/>
          <w:sz w:val="28"/>
          <w:szCs w:val="28"/>
        </w:rPr>
        <w:t>（5）其他优惠条款的说明</w:t>
      </w:r>
    </w:p>
    <w:p>
      <w:pPr>
        <w:autoSpaceDE w:val="0"/>
        <w:autoSpaceDN w:val="0"/>
        <w:adjustRightInd w:val="0"/>
        <w:jc w:val="left"/>
        <w:rPr>
          <w:rFonts w:ascii="宋体" w:hAnsi="宋体"/>
          <w:snapToGrid w:val="0"/>
          <w:color w:val="000000"/>
          <w:sz w:val="28"/>
          <w:szCs w:val="28"/>
        </w:rPr>
      </w:pPr>
      <w:r>
        <w:rPr>
          <w:rFonts w:hint="eastAsia" w:ascii="宋体" w:hAnsi="宋体"/>
          <w:snapToGrid w:val="0"/>
          <w:color w:val="000000"/>
          <w:sz w:val="28"/>
          <w:szCs w:val="28"/>
        </w:rPr>
        <w:t>（6）按招标文件要求提供的或投标人自愿提供的其他全部文件</w:t>
      </w:r>
    </w:p>
    <w:p>
      <w:pPr>
        <w:pStyle w:val="16"/>
        <w:adjustRightInd w:val="0"/>
        <w:rPr>
          <w:rFonts w:hAnsi="宋体" w:eastAsia="宋体"/>
          <w:snapToGrid w:val="0"/>
          <w:color w:val="000000"/>
          <w:sz w:val="28"/>
          <w:szCs w:val="28"/>
        </w:rPr>
      </w:pPr>
      <w:r>
        <w:rPr>
          <w:rFonts w:hAnsi="宋体" w:eastAsia="宋体"/>
          <w:snapToGrid w:val="0"/>
          <w:color w:val="000000"/>
          <w:sz w:val="28"/>
          <w:szCs w:val="28"/>
        </w:rPr>
        <w:t>（</w:t>
      </w:r>
      <w:r>
        <w:rPr>
          <w:rFonts w:hint="eastAsia" w:hAnsi="宋体" w:eastAsia="宋体"/>
          <w:snapToGrid w:val="0"/>
          <w:color w:val="000000"/>
          <w:sz w:val="28"/>
          <w:szCs w:val="28"/>
        </w:rPr>
        <w:t>7</w:t>
      </w:r>
      <w:r>
        <w:rPr>
          <w:rFonts w:hAnsi="宋体" w:eastAsia="宋体"/>
          <w:snapToGrid w:val="0"/>
          <w:color w:val="000000"/>
          <w:sz w:val="28"/>
          <w:szCs w:val="28"/>
        </w:rPr>
        <w:t>）原厂授权</w:t>
      </w:r>
      <w:r>
        <w:rPr>
          <w:rFonts w:hint="eastAsia" w:hAnsi="宋体" w:eastAsia="宋体"/>
          <w:snapToGrid w:val="0"/>
          <w:color w:val="000000"/>
          <w:sz w:val="28"/>
          <w:szCs w:val="28"/>
        </w:rPr>
        <w:t>函</w:t>
      </w:r>
    </w:p>
    <w:p>
      <w:pPr>
        <w:adjustRightInd w:val="0"/>
        <w:rPr>
          <w:rFonts w:ascii="宋体" w:hAnsi="宋体"/>
          <w:snapToGrid w:val="0"/>
          <w:color w:val="000000"/>
          <w:sz w:val="28"/>
          <w:szCs w:val="28"/>
        </w:rPr>
      </w:pPr>
    </w:p>
    <w:p>
      <w:pPr>
        <w:adjustRightInd w:val="0"/>
        <w:rPr>
          <w:rFonts w:ascii="宋体" w:hAnsi="宋体"/>
          <w:snapToGrid w:val="0"/>
          <w:color w:val="000000"/>
          <w:sz w:val="28"/>
          <w:szCs w:val="28"/>
        </w:rPr>
      </w:pPr>
      <w:r>
        <w:rPr>
          <w:rFonts w:hint="eastAsia" w:ascii="宋体" w:hAnsi="宋体"/>
          <w:snapToGrid w:val="0"/>
          <w:color w:val="000000"/>
          <w:sz w:val="28"/>
          <w:szCs w:val="28"/>
        </w:rPr>
        <w:t>据此函，投标人同意如下：</w:t>
      </w:r>
    </w:p>
    <w:p>
      <w:pPr>
        <w:adjustRightInd w:val="0"/>
        <w:rPr>
          <w:rFonts w:ascii="宋体" w:hAnsi="宋体"/>
          <w:snapToGrid w:val="0"/>
          <w:color w:val="000000"/>
          <w:sz w:val="28"/>
          <w:szCs w:val="28"/>
        </w:rPr>
      </w:pPr>
      <w:r>
        <w:rPr>
          <w:rFonts w:hint="eastAsia" w:ascii="宋体" w:hAnsi="宋体"/>
          <w:snapToGrid w:val="0"/>
          <w:color w:val="000000"/>
          <w:sz w:val="28"/>
          <w:szCs w:val="28"/>
        </w:rPr>
        <w:t>1.投标人完全接受招标文件中的内容，并将按招标文件的规定履行义务。</w:t>
      </w:r>
    </w:p>
    <w:p>
      <w:pPr>
        <w:adjustRightInd w:val="0"/>
        <w:rPr>
          <w:rFonts w:ascii="宋体" w:hAnsi="宋体"/>
          <w:snapToGrid w:val="0"/>
          <w:color w:val="000000"/>
          <w:sz w:val="28"/>
          <w:szCs w:val="28"/>
        </w:rPr>
      </w:pPr>
      <w:r>
        <w:rPr>
          <w:rFonts w:hint="eastAsia" w:ascii="宋体" w:hAnsi="宋体"/>
          <w:snapToGrid w:val="0"/>
          <w:color w:val="000000"/>
          <w:sz w:val="28"/>
          <w:szCs w:val="28"/>
        </w:rPr>
        <w:t>2.我方愿按《中华人民共和国招标投标法》、《中华人民共和国合同法》及相关法律法规履行我方的全部责任。</w:t>
      </w:r>
    </w:p>
    <w:p>
      <w:pPr>
        <w:adjustRightInd w:val="0"/>
        <w:rPr>
          <w:rFonts w:ascii="宋体" w:hAnsi="宋体"/>
          <w:snapToGrid w:val="0"/>
          <w:color w:val="000000"/>
          <w:sz w:val="28"/>
          <w:szCs w:val="28"/>
        </w:rPr>
      </w:pPr>
      <w:r>
        <w:rPr>
          <w:rFonts w:hint="eastAsia" w:ascii="宋体" w:hAnsi="宋体"/>
          <w:snapToGrid w:val="0"/>
          <w:color w:val="000000"/>
          <w:sz w:val="28"/>
          <w:szCs w:val="28"/>
        </w:rPr>
        <w:t>3.投标人己详细审查全部招标文件，包括修改文件以及全部参考资料和有关附件，无其它不明事项。</w:t>
      </w:r>
    </w:p>
    <w:p>
      <w:pPr>
        <w:adjustRightInd w:val="0"/>
        <w:rPr>
          <w:rFonts w:ascii="宋体" w:hAnsi="宋体"/>
          <w:snapToGrid w:val="0"/>
          <w:color w:val="000000"/>
          <w:sz w:val="28"/>
          <w:szCs w:val="28"/>
        </w:rPr>
      </w:pPr>
      <w:r>
        <w:rPr>
          <w:rFonts w:hint="eastAsia" w:ascii="宋体" w:hAnsi="宋体"/>
          <w:snapToGrid w:val="0"/>
          <w:color w:val="000000"/>
          <w:sz w:val="28"/>
          <w:szCs w:val="28"/>
        </w:rPr>
        <w:t xml:space="preserve">4.投标人同意提供贵方要求的与其投标有关的一切数据或资料，完全理解招标人在招标文件中确定的评标原则和程序，并理解贵方不一定要接受最低报价的投标。 </w:t>
      </w:r>
    </w:p>
    <w:p>
      <w:pPr>
        <w:adjustRightInd w:val="0"/>
        <w:rPr>
          <w:rFonts w:ascii="宋体" w:hAnsi="宋体"/>
          <w:snapToGrid w:val="0"/>
          <w:color w:val="000000"/>
          <w:sz w:val="28"/>
          <w:szCs w:val="28"/>
        </w:rPr>
      </w:pPr>
      <w:r>
        <w:rPr>
          <w:rFonts w:hint="eastAsia" w:ascii="宋体" w:hAnsi="宋体"/>
          <w:snapToGrid w:val="0"/>
          <w:color w:val="000000"/>
          <w:sz w:val="28"/>
          <w:szCs w:val="28"/>
        </w:rPr>
        <w:t>5.与本投标有关的一切正式信函请使用以下地址：</w:t>
      </w:r>
    </w:p>
    <w:p>
      <w:pPr>
        <w:pStyle w:val="16"/>
        <w:adjustRightInd w:val="0"/>
        <w:ind w:firstLine="624"/>
        <w:rPr>
          <w:rFonts w:hAnsi="宋体" w:eastAsia="宋体"/>
          <w:snapToGrid w:val="0"/>
          <w:color w:val="000000"/>
          <w:sz w:val="28"/>
          <w:szCs w:val="28"/>
        </w:rPr>
      </w:pPr>
      <w:r>
        <w:rPr>
          <w:rFonts w:hAnsi="宋体" w:eastAsia="宋体"/>
          <w:snapToGrid w:val="0"/>
          <w:color w:val="000000"/>
          <w:sz w:val="28"/>
          <w:szCs w:val="28"/>
        </w:rPr>
        <w:t>地址：</w:t>
      </w:r>
    </w:p>
    <w:p>
      <w:pPr>
        <w:pStyle w:val="16"/>
        <w:adjustRightInd w:val="0"/>
        <w:ind w:firstLine="624"/>
        <w:rPr>
          <w:rFonts w:hAnsi="宋体" w:eastAsia="宋体"/>
          <w:snapToGrid w:val="0"/>
          <w:color w:val="000000"/>
          <w:sz w:val="28"/>
          <w:szCs w:val="28"/>
        </w:rPr>
      </w:pPr>
      <w:r>
        <w:rPr>
          <w:rFonts w:hAnsi="宋体" w:eastAsia="宋体"/>
          <w:snapToGrid w:val="0"/>
          <w:color w:val="000000"/>
          <w:sz w:val="28"/>
          <w:szCs w:val="28"/>
        </w:rPr>
        <w:t>邮编：</w:t>
      </w:r>
    </w:p>
    <w:p>
      <w:pPr>
        <w:pStyle w:val="16"/>
        <w:adjustRightInd w:val="0"/>
        <w:ind w:firstLine="624"/>
        <w:rPr>
          <w:rFonts w:hAnsi="宋体" w:eastAsia="宋体"/>
          <w:snapToGrid w:val="0"/>
          <w:color w:val="000000"/>
          <w:sz w:val="28"/>
          <w:szCs w:val="28"/>
        </w:rPr>
      </w:pPr>
      <w:r>
        <w:rPr>
          <w:rFonts w:hAnsi="宋体" w:eastAsia="宋体"/>
          <w:snapToGrid w:val="0"/>
          <w:color w:val="000000"/>
          <w:sz w:val="28"/>
          <w:szCs w:val="28"/>
        </w:rPr>
        <w:t>电话：</w:t>
      </w:r>
    </w:p>
    <w:p>
      <w:pPr>
        <w:pStyle w:val="16"/>
        <w:adjustRightInd w:val="0"/>
        <w:ind w:firstLine="624"/>
        <w:rPr>
          <w:rFonts w:hAnsi="宋体" w:eastAsia="宋体"/>
          <w:snapToGrid w:val="0"/>
          <w:color w:val="000000"/>
          <w:sz w:val="28"/>
          <w:szCs w:val="28"/>
        </w:rPr>
      </w:pPr>
      <w:r>
        <w:rPr>
          <w:rFonts w:hAnsi="宋体" w:eastAsia="宋体"/>
          <w:snapToGrid w:val="0"/>
          <w:color w:val="000000"/>
          <w:sz w:val="28"/>
          <w:szCs w:val="28"/>
        </w:rPr>
        <w:t>传真：</w:t>
      </w:r>
    </w:p>
    <w:p>
      <w:pPr>
        <w:pStyle w:val="16"/>
        <w:adjustRightInd w:val="0"/>
        <w:ind w:firstLine="624"/>
        <w:rPr>
          <w:rFonts w:hAnsi="宋体" w:eastAsia="宋体"/>
          <w:snapToGrid w:val="0"/>
          <w:color w:val="000000"/>
          <w:sz w:val="28"/>
          <w:szCs w:val="28"/>
        </w:rPr>
      </w:pPr>
      <w:r>
        <w:rPr>
          <w:rFonts w:hAnsi="宋体" w:eastAsia="宋体"/>
          <w:snapToGrid w:val="0"/>
          <w:color w:val="000000"/>
          <w:sz w:val="28"/>
          <w:szCs w:val="28"/>
        </w:rPr>
        <w:t>投标人法定代表人姓名、职务（印刷体）：</w:t>
      </w:r>
    </w:p>
    <w:p>
      <w:pPr>
        <w:pStyle w:val="16"/>
        <w:adjustRightInd w:val="0"/>
        <w:ind w:firstLine="624"/>
        <w:rPr>
          <w:rFonts w:hAnsi="宋体" w:eastAsia="宋体"/>
          <w:snapToGrid w:val="0"/>
          <w:color w:val="000000"/>
          <w:sz w:val="28"/>
          <w:szCs w:val="28"/>
        </w:rPr>
      </w:pPr>
      <w:r>
        <w:rPr>
          <w:rFonts w:hAnsi="宋体" w:eastAsia="宋体"/>
          <w:snapToGrid w:val="0"/>
          <w:color w:val="000000"/>
          <w:sz w:val="28"/>
          <w:szCs w:val="28"/>
        </w:rPr>
        <w:t>投标人名称：</w:t>
      </w:r>
    </w:p>
    <w:p>
      <w:pPr>
        <w:pStyle w:val="16"/>
        <w:adjustRightInd w:val="0"/>
        <w:ind w:firstLine="624"/>
        <w:rPr>
          <w:rFonts w:hAnsi="宋体" w:eastAsia="宋体"/>
          <w:snapToGrid w:val="0"/>
          <w:color w:val="000000"/>
          <w:sz w:val="28"/>
          <w:szCs w:val="28"/>
        </w:rPr>
      </w:pPr>
      <w:r>
        <w:rPr>
          <w:rFonts w:hAnsi="宋体" w:eastAsia="宋体"/>
          <w:snapToGrid w:val="0"/>
          <w:color w:val="000000"/>
          <w:sz w:val="28"/>
          <w:szCs w:val="28"/>
        </w:rPr>
        <w:t>单位公章：</w:t>
      </w:r>
    </w:p>
    <w:p>
      <w:pPr>
        <w:pStyle w:val="16"/>
        <w:adjustRightInd w:val="0"/>
        <w:ind w:firstLine="624"/>
        <w:rPr>
          <w:rFonts w:hAnsi="宋体" w:eastAsia="宋体"/>
          <w:snapToGrid w:val="0"/>
          <w:color w:val="000000"/>
          <w:sz w:val="28"/>
          <w:szCs w:val="28"/>
        </w:rPr>
      </w:pPr>
      <w:r>
        <w:rPr>
          <w:rFonts w:hAnsi="宋体" w:eastAsia="宋体"/>
          <w:snapToGrid w:val="0"/>
          <w:color w:val="000000"/>
          <w:sz w:val="28"/>
          <w:szCs w:val="28"/>
        </w:rPr>
        <w:t>法定代表人或授权代理人签字：</w:t>
      </w:r>
    </w:p>
    <w:p>
      <w:pPr>
        <w:autoSpaceDE w:val="0"/>
        <w:autoSpaceDN w:val="0"/>
        <w:adjustRightInd w:val="0"/>
        <w:jc w:val="left"/>
        <w:rPr>
          <w:rFonts w:ascii="宋体" w:hAnsi="宋体"/>
          <w:snapToGrid w:val="0"/>
          <w:color w:val="000000"/>
          <w:sz w:val="28"/>
          <w:szCs w:val="28"/>
        </w:rPr>
      </w:pPr>
      <w:r>
        <w:rPr>
          <w:rFonts w:hint="eastAsia" w:ascii="宋体" w:hAnsi="宋体"/>
          <w:snapToGrid w:val="0"/>
          <w:color w:val="000000"/>
          <w:sz w:val="28"/>
          <w:szCs w:val="28"/>
        </w:rPr>
        <w:t>日期：年 月 日</w:t>
      </w:r>
    </w:p>
    <w:p>
      <w:pPr>
        <w:pStyle w:val="16"/>
        <w:adjustRightInd w:val="0"/>
        <w:rPr>
          <w:rFonts w:hAnsi="宋体" w:eastAsia="宋体"/>
          <w:b/>
          <w:color w:val="000000"/>
          <w:sz w:val="28"/>
          <w:szCs w:val="28"/>
        </w:rPr>
      </w:pPr>
    </w:p>
    <w:p>
      <w:pPr>
        <w:pStyle w:val="16"/>
        <w:adjustRightInd w:val="0"/>
        <w:rPr>
          <w:rFonts w:hAnsi="宋体" w:eastAsia="宋体"/>
          <w:b/>
          <w:color w:val="000000"/>
          <w:sz w:val="28"/>
          <w:szCs w:val="28"/>
        </w:rPr>
      </w:pPr>
    </w:p>
    <w:p>
      <w:pPr>
        <w:pStyle w:val="16"/>
        <w:adjustRightInd w:val="0"/>
        <w:rPr>
          <w:rFonts w:hAnsi="宋体" w:eastAsia="宋体"/>
          <w:b/>
          <w:color w:val="000000"/>
          <w:sz w:val="28"/>
          <w:szCs w:val="28"/>
        </w:rPr>
      </w:pPr>
    </w:p>
    <w:p>
      <w:pPr>
        <w:pStyle w:val="16"/>
        <w:adjustRightInd w:val="0"/>
        <w:rPr>
          <w:rFonts w:hAnsi="宋体" w:eastAsia="宋体"/>
          <w:b/>
          <w:color w:val="000000"/>
          <w:sz w:val="28"/>
          <w:szCs w:val="28"/>
        </w:rPr>
      </w:pPr>
    </w:p>
    <w:p>
      <w:pPr>
        <w:pStyle w:val="16"/>
        <w:adjustRightInd w:val="0"/>
        <w:rPr>
          <w:rFonts w:hAnsi="宋体" w:eastAsia="宋体"/>
          <w:b/>
          <w:color w:val="000000"/>
          <w:sz w:val="28"/>
          <w:szCs w:val="28"/>
        </w:rPr>
      </w:pPr>
    </w:p>
    <w:p>
      <w:pPr>
        <w:pStyle w:val="16"/>
        <w:adjustRightInd w:val="0"/>
        <w:rPr>
          <w:rFonts w:hAnsi="宋体" w:eastAsia="宋体"/>
          <w:b/>
          <w:color w:val="000000"/>
          <w:sz w:val="28"/>
          <w:szCs w:val="28"/>
        </w:rPr>
      </w:pPr>
    </w:p>
    <w:p>
      <w:pPr>
        <w:pStyle w:val="16"/>
        <w:adjustRightInd w:val="0"/>
        <w:rPr>
          <w:rFonts w:hAnsi="宋体" w:eastAsia="宋体"/>
          <w:b/>
          <w:color w:val="000000"/>
          <w:sz w:val="28"/>
          <w:szCs w:val="28"/>
        </w:rPr>
      </w:pPr>
    </w:p>
    <w:p>
      <w:pPr>
        <w:pStyle w:val="16"/>
        <w:adjustRightInd w:val="0"/>
        <w:rPr>
          <w:rFonts w:hAnsi="宋体" w:eastAsia="宋体"/>
          <w:b/>
          <w:color w:val="000000"/>
          <w:sz w:val="28"/>
          <w:szCs w:val="28"/>
        </w:rPr>
      </w:pPr>
    </w:p>
    <w:p>
      <w:pPr>
        <w:pStyle w:val="16"/>
        <w:adjustRightInd w:val="0"/>
        <w:rPr>
          <w:rFonts w:hAnsi="宋体" w:eastAsia="宋体"/>
          <w:b/>
          <w:color w:val="000000"/>
          <w:sz w:val="28"/>
          <w:szCs w:val="28"/>
        </w:rPr>
      </w:pPr>
    </w:p>
    <w:p>
      <w:pPr>
        <w:pStyle w:val="16"/>
        <w:adjustRightInd w:val="0"/>
        <w:rPr>
          <w:rFonts w:hAnsi="宋体" w:eastAsia="宋体"/>
          <w:b/>
          <w:color w:val="000000"/>
          <w:sz w:val="28"/>
          <w:szCs w:val="28"/>
        </w:rPr>
      </w:pPr>
    </w:p>
    <w:p>
      <w:pPr>
        <w:pStyle w:val="16"/>
        <w:adjustRightInd w:val="0"/>
        <w:rPr>
          <w:rFonts w:hAnsi="宋体" w:eastAsia="宋体"/>
          <w:snapToGrid w:val="0"/>
          <w:color w:val="000000"/>
          <w:sz w:val="28"/>
          <w:szCs w:val="28"/>
        </w:rPr>
      </w:pPr>
      <w:r>
        <w:rPr>
          <w:rFonts w:hAnsi="宋体" w:eastAsia="宋体"/>
          <w:b/>
          <w:color w:val="000000"/>
          <w:sz w:val="28"/>
          <w:szCs w:val="28"/>
        </w:rPr>
        <w:t>附件2</w:t>
      </w:r>
    </w:p>
    <w:p>
      <w:pPr>
        <w:pStyle w:val="16"/>
        <w:adjustRightInd w:val="0"/>
        <w:jc w:val="center"/>
        <w:rPr>
          <w:rFonts w:hAnsi="宋体" w:eastAsia="宋体"/>
          <w:b/>
          <w:snapToGrid w:val="0"/>
          <w:color w:val="000000"/>
          <w:sz w:val="30"/>
          <w:szCs w:val="30"/>
        </w:rPr>
      </w:pPr>
      <w:r>
        <w:rPr>
          <w:rFonts w:hAnsi="宋体" w:eastAsia="宋体"/>
          <w:b/>
          <w:snapToGrid w:val="0"/>
          <w:color w:val="000000"/>
          <w:sz w:val="30"/>
          <w:szCs w:val="30"/>
        </w:rPr>
        <w:t>投标人情况简介</w:t>
      </w:r>
    </w:p>
    <w:p>
      <w:pPr>
        <w:pStyle w:val="16"/>
        <w:adjustRightInd w:val="0"/>
        <w:rPr>
          <w:rFonts w:hAnsi="宋体" w:eastAsia="宋体"/>
          <w:snapToGrid w:val="0"/>
          <w:color w:val="000000"/>
          <w:sz w:val="28"/>
          <w:szCs w:val="28"/>
        </w:rPr>
      </w:pPr>
      <w:r>
        <w:rPr>
          <w:rFonts w:hAnsi="宋体" w:eastAsia="宋体"/>
          <w:snapToGrid w:val="0"/>
          <w:color w:val="000000"/>
          <w:sz w:val="28"/>
          <w:szCs w:val="28"/>
        </w:rPr>
        <w:t>1.名称和概况：</w:t>
      </w:r>
    </w:p>
    <w:p>
      <w:pPr>
        <w:pStyle w:val="16"/>
        <w:adjustRightInd w:val="0"/>
        <w:rPr>
          <w:rFonts w:hAnsi="宋体" w:eastAsia="宋体"/>
          <w:snapToGrid w:val="0"/>
          <w:color w:val="000000"/>
          <w:sz w:val="28"/>
          <w:szCs w:val="28"/>
        </w:rPr>
      </w:pPr>
      <w:r>
        <w:rPr>
          <w:rFonts w:hAnsi="宋体" w:eastAsia="宋体"/>
          <w:snapToGrid w:val="0"/>
          <w:color w:val="000000"/>
          <w:sz w:val="28"/>
          <w:szCs w:val="28"/>
        </w:rPr>
        <w:t>A．投标人名称：</w:t>
      </w:r>
    </w:p>
    <w:p>
      <w:pPr>
        <w:pStyle w:val="16"/>
        <w:adjustRightInd w:val="0"/>
        <w:rPr>
          <w:rFonts w:hAnsi="宋体" w:eastAsia="宋体"/>
          <w:snapToGrid w:val="0"/>
          <w:color w:val="000000"/>
          <w:sz w:val="28"/>
          <w:szCs w:val="28"/>
        </w:rPr>
      </w:pPr>
      <w:r>
        <w:rPr>
          <w:rFonts w:hAnsi="宋体" w:eastAsia="宋体"/>
          <w:snapToGrid w:val="0"/>
          <w:color w:val="000000"/>
          <w:sz w:val="28"/>
          <w:szCs w:val="28"/>
        </w:rPr>
        <w:t>B．地址：邮编：</w:t>
      </w:r>
    </w:p>
    <w:p>
      <w:pPr>
        <w:pStyle w:val="16"/>
        <w:adjustRightInd w:val="0"/>
        <w:rPr>
          <w:rFonts w:hAnsi="宋体" w:eastAsia="宋体"/>
          <w:snapToGrid w:val="0"/>
          <w:color w:val="000000"/>
          <w:sz w:val="28"/>
          <w:szCs w:val="28"/>
        </w:rPr>
      </w:pPr>
      <w:r>
        <w:rPr>
          <w:rFonts w:hAnsi="宋体" w:eastAsia="宋体"/>
          <w:snapToGrid w:val="0"/>
          <w:color w:val="000000"/>
          <w:sz w:val="28"/>
          <w:szCs w:val="28"/>
        </w:rPr>
        <w:t xml:space="preserve"> 传真／电话：</w:t>
      </w:r>
    </w:p>
    <w:p>
      <w:pPr>
        <w:pStyle w:val="16"/>
        <w:adjustRightInd w:val="0"/>
        <w:rPr>
          <w:rFonts w:hAnsi="宋体" w:eastAsia="宋体"/>
          <w:snapToGrid w:val="0"/>
          <w:color w:val="000000"/>
          <w:sz w:val="28"/>
          <w:szCs w:val="28"/>
        </w:rPr>
      </w:pPr>
      <w:r>
        <w:rPr>
          <w:rFonts w:hAnsi="宋体" w:eastAsia="宋体"/>
          <w:snapToGrid w:val="0"/>
          <w:color w:val="000000"/>
          <w:sz w:val="28"/>
          <w:szCs w:val="28"/>
        </w:rPr>
        <w:t>C．成立日期或注册日期：</w:t>
      </w:r>
    </w:p>
    <w:p>
      <w:pPr>
        <w:pStyle w:val="16"/>
        <w:adjustRightInd w:val="0"/>
        <w:rPr>
          <w:rFonts w:hAnsi="宋体" w:eastAsia="宋体"/>
          <w:snapToGrid w:val="0"/>
          <w:color w:val="000000"/>
          <w:sz w:val="28"/>
          <w:szCs w:val="28"/>
        </w:rPr>
      </w:pPr>
      <w:r>
        <w:rPr>
          <w:rFonts w:hAnsi="宋体" w:eastAsia="宋体"/>
          <w:snapToGrid w:val="0"/>
          <w:color w:val="000000"/>
          <w:sz w:val="28"/>
          <w:szCs w:val="28"/>
        </w:rPr>
        <w:t>D．法定代表人或主要负责人姓名：</w:t>
      </w:r>
    </w:p>
    <w:p>
      <w:pPr>
        <w:pStyle w:val="16"/>
        <w:adjustRightInd w:val="0"/>
        <w:rPr>
          <w:rFonts w:hAnsi="宋体" w:eastAsia="宋体"/>
          <w:snapToGrid w:val="0"/>
          <w:color w:val="000000"/>
          <w:sz w:val="28"/>
          <w:szCs w:val="28"/>
        </w:rPr>
      </w:pPr>
      <w:r>
        <w:rPr>
          <w:rFonts w:hAnsi="宋体" w:eastAsia="宋体"/>
          <w:snapToGrid w:val="0"/>
          <w:color w:val="000000"/>
          <w:sz w:val="28"/>
          <w:szCs w:val="28"/>
        </w:rPr>
        <w:t>2．财务数据：</w:t>
      </w:r>
    </w:p>
    <w:p>
      <w:pPr>
        <w:pStyle w:val="16"/>
        <w:adjustRightInd w:val="0"/>
        <w:rPr>
          <w:rFonts w:hAnsi="宋体" w:eastAsia="宋体"/>
          <w:snapToGrid w:val="0"/>
          <w:color w:val="000000"/>
          <w:sz w:val="28"/>
          <w:szCs w:val="28"/>
          <w:u w:val="single"/>
        </w:rPr>
      </w:pPr>
      <w:r>
        <w:rPr>
          <w:rFonts w:hAnsi="宋体" w:eastAsia="宋体"/>
          <w:snapToGrid w:val="0"/>
          <w:color w:val="000000"/>
          <w:sz w:val="28"/>
          <w:szCs w:val="28"/>
        </w:rPr>
        <w:t>A. 注册资本：</w:t>
      </w:r>
    </w:p>
    <w:p>
      <w:pPr>
        <w:pStyle w:val="16"/>
        <w:adjustRightInd w:val="0"/>
        <w:rPr>
          <w:rFonts w:hAnsi="宋体" w:eastAsia="宋体"/>
          <w:snapToGrid w:val="0"/>
          <w:color w:val="000000"/>
          <w:sz w:val="28"/>
          <w:szCs w:val="28"/>
        </w:rPr>
      </w:pPr>
      <w:r>
        <w:rPr>
          <w:rFonts w:hAnsi="宋体" w:eastAsia="宋体"/>
          <w:snapToGrid w:val="0"/>
          <w:color w:val="000000"/>
          <w:sz w:val="28"/>
          <w:szCs w:val="28"/>
        </w:rPr>
        <w:t>3．业绩或服务的情况：</w:t>
      </w:r>
    </w:p>
    <w:p>
      <w:pPr>
        <w:pStyle w:val="16"/>
        <w:adjustRightInd w:val="0"/>
        <w:rPr>
          <w:rFonts w:hAnsi="宋体" w:eastAsia="宋体"/>
          <w:snapToGrid w:val="0"/>
          <w:color w:val="000000"/>
          <w:sz w:val="28"/>
          <w:szCs w:val="28"/>
        </w:rPr>
      </w:pPr>
      <w:r>
        <w:rPr>
          <w:rFonts w:hAnsi="宋体" w:eastAsia="宋体"/>
          <w:snapToGrid w:val="0"/>
          <w:color w:val="000000"/>
          <w:sz w:val="28"/>
          <w:szCs w:val="28"/>
        </w:rPr>
        <w:t xml:space="preserve"> 20</w:t>
      </w:r>
      <w:r>
        <w:rPr>
          <w:rFonts w:hint="eastAsia" w:hAnsi="宋体" w:eastAsia="宋体"/>
          <w:snapToGrid w:val="0"/>
          <w:color w:val="000000"/>
          <w:sz w:val="28"/>
          <w:szCs w:val="28"/>
        </w:rPr>
        <w:t>1</w:t>
      </w:r>
      <w:r>
        <w:rPr>
          <w:rFonts w:hint="eastAsia" w:hAnsi="宋体" w:eastAsia="宋体"/>
          <w:snapToGrid w:val="0"/>
          <w:color w:val="000000"/>
          <w:sz w:val="28"/>
          <w:szCs w:val="28"/>
          <w:lang w:val="en-US" w:eastAsia="zh-CN"/>
        </w:rPr>
        <w:t>8</w:t>
      </w:r>
      <w:r>
        <w:rPr>
          <w:rFonts w:hAnsi="宋体" w:eastAsia="宋体"/>
          <w:snapToGrid w:val="0"/>
          <w:color w:val="000000"/>
          <w:sz w:val="28"/>
          <w:szCs w:val="28"/>
        </w:rPr>
        <w:t xml:space="preserve">年至今国内外主要用户的名称和地址： </w:t>
      </w:r>
    </w:p>
    <w:p>
      <w:pPr>
        <w:pStyle w:val="16"/>
        <w:tabs>
          <w:tab w:val="left" w:pos="360"/>
        </w:tabs>
        <w:adjustRightInd w:val="0"/>
        <w:rPr>
          <w:rFonts w:hAnsi="宋体" w:eastAsia="宋体"/>
          <w:snapToGrid w:val="0"/>
          <w:color w:val="000000"/>
          <w:sz w:val="28"/>
          <w:szCs w:val="28"/>
        </w:rPr>
      </w:pPr>
      <w:r>
        <w:rPr>
          <w:rFonts w:hint="eastAsia" w:hAnsi="宋体" w:eastAsia="宋体"/>
          <w:snapToGrid w:val="0"/>
          <w:color w:val="000000"/>
          <w:sz w:val="28"/>
          <w:szCs w:val="28"/>
        </w:rPr>
        <w:t>4</w:t>
      </w:r>
      <w:r>
        <w:rPr>
          <w:rFonts w:hAnsi="宋体" w:eastAsia="宋体"/>
          <w:snapToGrid w:val="0"/>
          <w:color w:val="000000"/>
          <w:sz w:val="28"/>
          <w:szCs w:val="28"/>
        </w:rPr>
        <w:t>.所属集团（如有的话）：</w:t>
      </w:r>
    </w:p>
    <w:p>
      <w:pPr>
        <w:pStyle w:val="16"/>
        <w:tabs>
          <w:tab w:val="left" w:pos="0"/>
        </w:tabs>
        <w:adjustRightInd w:val="0"/>
        <w:rPr>
          <w:rFonts w:hAnsi="宋体" w:eastAsia="宋体"/>
          <w:snapToGrid w:val="0"/>
          <w:color w:val="000000"/>
          <w:sz w:val="28"/>
          <w:szCs w:val="28"/>
        </w:rPr>
      </w:pPr>
      <w:r>
        <w:rPr>
          <w:rFonts w:hint="eastAsia" w:hAnsi="宋体" w:eastAsia="宋体"/>
          <w:snapToGrid w:val="0"/>
          <w:color w:val="000000"/>
          <w:sz w:val="28"/>
          <w:szCs w:val="28"/>
        </w:rPr>
        <w:t>5</w:t>
      </w:r>
      <w:r>
        <w:rPr>
          <w:rFonts w:hAnsi="宋体" w:eastAsia="宋体"/>
          <w:snapToGrid w:val="0"/>
          <w:color w:val="000000"/>
          <w:sz w:val="28"/>
          <w:szCs w:val="28"/>
        </w:rPr>
        <w:t>.其它情况（组织、机构、技术力量、参与本项目的实施人员情况等）</w:t>
      </w:r>
    </w:p>
    <w:p>
      <w:pPr>
        <w:autoSpaceDE w:val="0"/>
        <w:autoSpaceDN w:val="0"/>
        <w:adjustRightInd w:val="0"/>
        <w:jc w:val="left"/>
        <w:rPr>
          <w:rFonts w:ascii="宋体" w:hAnsi="宋体"/>
          <w:snapToGrid w:val="0"/>
          <w:color w:val="000000"/>
          <w:sz w:val="28"/>
          <w:szCs w:val="28"/>
        </w:rPr>
      </w:pPr>
    </w:p>
    <w:p>
      <w:pPr>
        <w:autoSpaceDE w:val="0"/>
        <w:autoSpaceDN w:val="0"/>
        <w:adjustRightInd w:val="0"/>
        <w:jc w:val="left"/>
        <w:rPr>
          <w:rFonts w:ascii="宋体" w:hAnsi="宋体"/>
          <w:snapToGrid w:val="0"/>
          <w:color w:val="000000"/>
          <w:sz w:val="28"/>
          <w:szCs w:val="28"/>
        </w:rPr>
      </w:pPr>
    </w:p>
    <w:p>
      <w:pPr>
        <w:tabs>
          <w:tab w:val="left" w:pos="8280"/>
        </w:tabs>
        <w:ind w:right="-1801"/>
        <w:rPr>
          <w:rFonts w:ascii="宋体" w:hAnsi="宋体"/>
          <w:b/>
          <w:color w:val="000000"/>
          <w:sz w:val="28"/>
          <w:szCs w:val="28"/>
        </w:rPr>
      </w:pPr>
    </w:p>
    <w:p>
      <w:pPr>
        <w:tabs>
          <w:tab w:val="left" w:pos="8280"/>
        </w:tabs>
        <w:ind w:right="-1801"/>
        <w:rPr>
          <w:rFonts w:ascii="宋体" w:hAnsi="宋体"/>
          <w:b/>
          <w:color w:val="000000"/>
          <w:sz w:val="28"/>
          <w:szCs w:val="28"/>
        </w:rPr>
      </w:pPr>
    </w:p>
    <w:p>
      <w:pPr>
        <w:tabs>
          <w:tab w:val="left" w:pos="8280"/>
        </w:tabs>
        <w:ind w:right="-1801"/>
        <w:rPr>
          <w:rFonts w:ascii="宋体" w:hAnsi="宋体"/>
          <w:b/>
          <w:color w:val="000000"/>
          <w:sz w:val="28"/>
          <w:szCs w:val="28"/>
        </w:rPr>
      </w:pPr>
    </w:p>
    <w:p>
      <w:pPr>
        <w:tabs>
          <w:tab w:val="left" w:pos="8280"/>
        </w:tabs>
        <w:ind w:right="-1801"/>
        <w:rPr>
          <w:rFonts w:ascii="宋体" w:hAnsi="宋体"/>
          <w:b/>
          <w:color w:val="000000"/>
          <w:sz w:val="28"/>
          <w:szCs w:val="28"/>
        </w:rPr>
      </w:pPr>
    </w:p>
    <w:p>
      <w:pPr>
        <w:tabs>
          <w:tab w:val="left" w:pos="8280"/>
        </w:tabs>
        <w:ind w:right="-1801"/>
        <w:rPr>
          <w:rFonts w:ascii="宋体" w:hAnsi="宋体"/>
          <w:b/>
          <w:color w:val="000000"/>
          <w:sz w:val="28"/>
          <w:szCs w:val="28"/>
        </w:rPr>
      </w:pPr>
    </w:p>
    <w:p>
      <w:pPr>
        <w:tabs>
          <w:tab w:val="left" w:pos="8280"/>
        </w:tabs>
        <w:ind w:right="-1801"/>
        <w:rPr>
          <w:rFonts w:ascii="宋体" w:hAnsi="宋体"/>
          <w:b/>
          <w:color w:val="000000"/>
          <w:sz w:val="28"/>
          <w:szCs w:val="28"/>
        </w:rPr>
      </w:pPr>
    </w:p>
    <w:p>
      <w:pPr>
        <w:tabs>
          <w:tab w:val="left" w:pos="8280"/>
        </w:tabs>
        <w:ind w:right="-1801"/>
        <w:rPr>
          <w:rFonts w:ascii="宋体" w:hAnsi="宋体"/>
          <w:color w:val="000000"/>
          <w:sz w:val="28"/>
          <w:szCs w:val="28"/>
        </w:rPr>
      </w:pPr>
      <w:r>
        <w:rPr>
          <w:rFonts w:hint="eastAsia" w:ascii="宋体" w:hAnsi="宋体"/>
          <w:b/>
          <w:color w:val="000000"/>
          <w:sz w:val="28"/>
          <w:szCs w:val="28"/>
        </w:rPr>
        <w:t xml:space="preserve">附件3 </w:t>
      </w:r>
    </w:p>
    <w:p>
      <w:pPr>
        <w:tabs>
          <w:tab w:val="left" w:pos="8280"/>
        </w:tabs>
        <w:jc w:val="center"/>
        <w:rPr>
          <w:rFonts w:ascii="宋体" w:hAnsi="宋体"/>
          <w:b/>
          <w:snapToGrid w:val="0"/>
          <w:color w:val="000000"/>
          <w:sz w:val="30"/>
          <w:szCs w:val="30"/>
        </w:rPr>
      </w:pPr>
      <w:r>
        <w:rPr>
          <w:rFonts w:hint="eastAsia" w:ascii="宋体" w:hAnsi="宋体"/>
          <w:b/>
          <w:snapToGrid w:val="0"/>
          <w:color w:val="000000"/>
          <w:sz w:val="30"/>
          <w:szCs w:val="30"/>
        </w:rPr>
        <w:t>法定代表人授权委托书</w:t>
      </w:r>
    </w:p>
    <w:p>
      <w:pPr>
        <w:tabs>
          <w:tab w:val="left" w:pos="8280"/>
        </w:tabs>
        <w:spacing w:line="360" w:lineRule="auto"/>
        <w:rPr>
          <w:rFonts w:ascii="宋体" w:hAnsi="宋体"/>
          <w:color w:val="000000"/>
          <w:sz w:val="28"/>
          <w:szCs w:val="28"/>
        </w:rPr>
      </w:pPr>
      <w:r>
        <w:rPr>
          <w:rFonts w:hint="eastAsia" w:ascii="宋体" w:hAnsi="宋体"/>
          <w:snapToGrid w:val="0"/>
          <w:color w:val="000000"/>
          <w:sz w:val="28"/>
        </w:rPr>
        <w:t>江苏常熟农村商业银行股份有限公司</w:t>
      </w:r>
      <w:r>
        <w:rPr>
          <w:rFonts w:hint="eastAsia" w:ascii="宋体" w:hAnsi="宋体"/>
          <w:color w:val="000000"/>
          <w:sz w:val="28"/>
          <w:szCs w:val="28"/>
        </w:rPr>
        <w:t>：</w:t>
      </w:r>
    </w:p>
    <w:p>
      <w:pPr>
        <w:tabs>
          <w:tab w:val="left" w:pos="8280"/>
        </w:tabs>
        <w:spacing w:line="360" w:lineRule="auto"/>
        <w:ind w:firstLine="480"/>
        <w:rPr>
          <w:rFonts w:ascii="宋体" w:hAnsi="宋体"/>
          <w:color w:val="000000"/>
          <w:sz w:val="28"/>
          <w:szCs w:val="28"/>
        </w:rPr>
      </w:pPr>
      <w:r>
        <w:rPr>
          <w:rFonts w:hint="eastAsia" w:ascii="宋体" w:hAnsi="宋体"/>
          <w:color w:val="000000"/>
          <w:sz w:val="28"/>
          <w:szCs w:val="28"/>
        </w:rPr>
        <w:t xml:space="preserve"> 兹委托</w:t>
      </w:r>
      <w:r>
        <w:rPr>
          <w:rFonts w:hint="eastAsia" w:ascii="宋体" w:hAnsi="宋体"/>
          <w:color w:val="000000"/>
          <w:sz w:val="28"/>
          <w:szCs w:val="28"/>
          <w:u w:val="single"/>
        </w:rPr>
        <w:t xml:space="preserve">                  (代理人姓名)</w:t>
      </w:r>
      <w:r>
        <w:rPr>
          <w:rFonts w:hint="eastAsia" w:ascii="宋体" w:hAnsi="宋体"/>
          <w:color w:val="000000"/>
          <w:sz w:val="28"/>
          <w:szCs w:val="28"/>
        </w:rPr>
        <w:t>参加贵单位组织的</w:t>
      </w:r>
      <w:r>
        <w:rPr>
          <w:rFonts w:hint="eastAsia" w:ascii="宋体" w:hAnsi="宋体"/>
          <w:snapToGrid w:val="0"/>
          <w:color w:val="000000"/>
          <w:sz w:val="28"/>
        </w:rPr>
        <w:t>计算机及外围设备</w:t>
      </w:r>
      <w:r>
        <w:rPr>
          <w:rFonts w:hint="eastAsia" w:ascii="宋体" w:hAnsi="宋体"/>
          <w:color w:val="000000"/>
          <w:sz w:val="28"/>
          <w:szCs w:val="28"/>
        </w:rPr>
        <w:t>招标活动，全权代表我单位处理投标的有关事宜。</w:t>
      </w:r>
    </w:p>
    <w:p>
      <w:pPr>
        <w:tabs>
          <w:tab w:val="left" w:pos="8280"/>
        </w:tabs>
        <w:spacing w:line="360" w:lineRule="auto"/>
        <w:ind w:firstLine="480"/>
        <w:rPr>
          <w:rFonts w:ascii="宋体" w:hAnsi="宋体"/>
          <w:color w:val="000000"/>
          <w:sz w:val="28"/>
          <w:szCs w:val="28"/>
        </w:rPr>
      </w:pPr>
      <w:r>
        <w:rPr>
          <w:rFonts w:hint="eastAsia" w:ascii="宋体" w:hAnsi="宋体"/>
          <w:color w:val="000000"/>
          <w:sz w:val="28"/>
          <w:szCs w:val="28"/>
        </w:rPr>
        <w:t xml:space="preserve"> 附全权代表情况：</w:t>
      </w:r>
    </w:p>
    <w:p>
      <w:pPr>
        <w:tabs>
          <w:tab w:val="left" w:pos="8280"/>
        </w:tabs>
        <w:spacing w:line="360" w:lineRule="auto"/>
        <w:ind w:firstLine="480"/>
        <w:rPr>
          <w:rFonts w:ascii="宋体" w:hAnsi="宋体"/>
          <w:color w:val="000000"/>
          <w:sz w:val="28"/>
          <w:szCs w:val="28"/>
          <w:u w:val="single"/>
        </w:rPr>
      </w:pPr>
      <w:r>
        <w:rPr>
          <w:rFonts w:hint="eastAsia" w:ascii="宋体" w:hAnsi="宋体"/>
          <w:color w:val="000000"/>
          <w:sz w:val="28"/>
          <w:szCs w:val="28"/>
        </w:rPr>
        <w:t xml:space="preserve"> 姓名： 性别：年龄：职务：</w:t>
      </w:r>
    </w:p>
    <w:p>
      <w:pPr>
        <w:tabs>
          <w:tab w:val="left" w:pos="8280"/>
        </w:tabs>
        <w:spacing w:line="360" w:lineRule="auto"/>
        <w:ind w:firstLine="480"/>
        <w:rPr>
          <w:rFonts w:ascii="宋体" w:hAnsi="宋体"/>
          <w:color w:val="000000"/>
          <w:sz w:val="28"/>
          <w:szCs w:val="28"/>
        </w:rPr>
      </w:pPr>
      <w:r>
        <w:rPr>
          <w:rFonts w:hint="eastAsia" w:ascii="宋体" w:hAnsi="宋体"/>
          <w:color w:val="000000"/>
          <w:sz w:val="28"/>
          <w:szCs w:val="28"/>
        </w:rPr>
        <w:t xml:space="preserve"> 身份证号码：</w:t>
      </w:r>
    </w:p>
    <w:p>
      <w:pPr>
        <w:tabs>
          <w:tab w:val="left" w:pos="8280"/>
        </w:tabs>
        <w:spacing w:line="360" w:lineRule="auto"/>
        <w:ind w:firstLine="480"/>
        <w:rPr>
          <w:rFonts w:ascii="宋体" w:hAnsi="宋体"/>
          <w:color w:val="000000"/>
          <w:sz w:val="28"/>
          <w:szCs w:val="28"/>
        </w:rPr>
      </w:pPr>
      <w:r>
        <w:rPr>
          <w:rFonts w:hint="eastAsia" w:ascii="宋体" w:hAnsi="宋体"/>
          <w:color w:val="000000"/>
          <w:sz w:val="28"/>
          <w:szCs w:val="28"/>
        </w:rPr>
        <w:t xml:space="preserve"> 详细通讯地址： </w:t>
      </w:r>
    </w:p>
    <w:p>
      <w:pPr>
        <w:tabs>
          <w:tab w:val="left" w:pos="8280"/>
        </w:tabs>
        <w:spacing w:line="360" w:lineRule="auto"/>
        <w:ind w:firstLine="480"/>
        <w:rPr>
          <w:rFonts w:ascii="宋体" w:hAnsi="宋体"/>
          <w:color w:val="000000"/>
          <w:sz w:val="28"/>
          <w:szCs w:val="28"/>
        </w:rPr>
      </w:pPr>
      <w:r>
        <w:rPr>
          <w:rFonts w:hint="eastAsia" w:ascii="宋体" w:hAnsi="宋体"/>
          <w:color w:val="000000"/>
          <w:sz w:val="28"/>
          <w:szCs w:val="28"/>
        </w:rPr>
        <w:t xml:space="preserve"> 电话：传真：</w:t>
      </w:r>
    </w:p>
    <w:p>
      <w:pPr>
        <w:tabs>
          <w:tab w:val="left" w:pos="8280"/>
        </w:tabs>
        <w:spacing w:line="360" w:lineRule="auto"/>
        <w:ind w:firstLine="480"/>
        <w:rPr>
          <w:rFonts w:ascii="宋体" w:hAnsi="宋体"/>
          <w:color w:val="000000"/>
          <w:sz w:val="28"/>
          <w:szCs w:val="28"/>
        </w:rPr>
      </w:pPr>
      <w:r>
        <w:rPr>
          <w:rFonts w:hint="eastAsia" w:ascii="宋体" w:hAnsi="宋体"/>
          <w:color w:val="000000"/>
          <w:sz w:val="28"/>
          <w:szCs w:val="28"/>
        </w:rPr>
        <w:t xml:space="preserve"> 邮政编码：</w:t>
      </w:r>
    </w:p>
    <w:p>
      <w:pPr>
        <w:tabs>
          <w:tab w:val="left" w:pos="8280"/>
        </w:tabs>
        <w:spacing w:line="360" w:lineRule="auto"/>
        <w:rPr>
          <w:rFonts w:ascii="宋体" w:hAnsi="宋体"/>
          <w:color w:val="000000"/>
          <w:sz w:val="28"/>
          <w:szCs w:val="28"/>
        </w:rPr>
      </w:pPr>
      <w:r>
        <w:rPr>
          <w:rFonts w:hint="eastAsia" w:ascii="宋体" w:hAnsi="宋体"/>
          <w:color w:val="000000"/>
          <w:sz w:val="28"/>
          <w:szCs w:val="28"/>
        </w:rPr>
        <w:t xml:space="preserve">    单位名称（公章）                        法定代表人（签字）</w:t>
      </w:r>
    </w:p>
    <w:p>
      <w:pPr>
        <w:tabs>
          <w:tab w:val="left" w:pos="8280"/>
        </w:tabs>
        <w:spacing w:line="360" w:lineRule="auto"/>
        <w:ind w:firstLine="570"/>
        <w:rPr>
          <w:rFonts w:ascii="宋体" w:hAnsi="宋体"/>
          <w:color w:val="000000"/>
          <w:sz w:val="28"/>
          <w:szCs w:val="28"/>
        </w:rPr>
      </w:pPr>
      <w:r>
        <w:rPr>
          <w:rFonts w:hint="eastAsia" w:ascii="宋体" w:hAnsi="宋体"/>
          <w:color w:val="000000"/>
          <w:sz w:val="28"/>
          <w:szCs w:val="28"/>
        </w:rPr>
        <w:t xml:space="preserve">    年   月   日                         年   月    日     </w:t>
      </w:r>
    </w:p>
    <w:p>
      <w:pPr>
        <w:tabs>
          <w:tab w:val="left" w:pos="8280"/>
        </w:tabs>
        <w:spacing w:line="360" w:lineRule="auto"/>
        <w:outlineLvl w:val="0"/>
        <w:rPr>
          <w:rFonts w:ascii="宋体" w:hAnsi="宋体"/>
          <w:color w:val="000000"/>
          <w:sz w:val="28"/>
          <w:szCs w:val="28"/>
        </w:rPr>
      </w:pPr>
      <w:r>
        <w:rPr>
          <w:rFonts w:hint="eastAsia" w:ascii="宋体" w:hAnsi="宋体"/>
          <w:color w:val="000000"/>
          <w:sz w:val="28"/>
          <w:szCs w:val="28"/>
        </w:rPr>
        <w:t>（说明：法定代表人参加投标，不用此委托书）</w:t>
      </w:r>
    </w:p>
    <w:p>
      <w:pPr>
        <w:tabs>
          <w:tab w:val="left" w:pos="8280"/>
        </w:tabs>
        <w:spacing w:line="360" w:lineRule="auto"/>
        <w:outlineLvl w:val="0"/>
        <w:rPr>
          <w:rFonts w:ascii="宋体" w:hAnsi="宋体"/>
          <w:color w:val="000000"/>
          <w:sz w:val="28"/>
          <w:szCs w:val="28"/>
        </w:rPr>
      </w:pPr>
    </w:p>
    <w:p>
      <w:pPr>
        <w:tabs>
          <w:tab w:val="left" w:pos="8280"/>
        </w:tabs>
        <w:ind w:right="-1801"/>
        <w:rPr>
          <w:rFonts w:ascii="宋体" w:hAnsi="宋体"/>
          <w:b/>
          <w:color w:val="000000"/>
          <w:sz w:val="28"/>
          <w:szCs w:val="28"/>
        </w:rPr>
      </w:pPr>
    </w:p>
    <w:p>
      <w:pPr>
        <w:tabs>
          <w:tab w:val="left" w:pos="8280"/>
        </w:tabs>
        <w:ind w:right="-1801"/>
        <w:rPr>
          <w:rFonts w:ascii="宋体" w:hAnsi="宋体"/>
          <w:b/>
          <w:color w:val="000000"/>
          <w:sz w:val="28"/>
          <w:szCs w:val="28"/>
        </w:rPr>
      </w:pPr>
    </w:p>
    <w:p>
      <w:pPr>
        <w:tabs>
          <w:tab w:val="left" w:pos="8280"/>
        </w:tabs>
        <w:ind w:right="-1801"/>
        <w:rPr>
          <w:rFonts w:ascii="宋体" w:hAnsi="宋体"/>
          <w:b/>
          <w:color w:val="000000"/>
          <w:sz w:val="28"/>
          <w:szCs w:val="28"/>
        </w:rPr>
      </w:pPr>
    </w:p>
    <w:p>
      <w:pPr>
        <w:tabs>
          <w:tab w:val="left" w:pos="8280"/>
        </w:tabs>
        <w:ind w:right="-1801"/>
        <w:rPr>
          <w:rFonts w:ascii="宋体" w:hAnsi="宋体"/>
          <w:b/>
          <w:color w:val="000000"/>
          <w:sz w:val="28"/>
          <w:szCs w:val="28"/>
        </w:rPr>
      </w:pPr>
    </w:p>
    <w:p>
      <w:pPr>
        <w:tabs>
          <w:tab w:val="left" w:pos="8280"/>
        </w:tabs>
        <w:ind w:right="-1801"/>
        <w:rPr>
          <w:rFonts w:ascii="宋体" w:hAnsi="宋体"/>
          <w:b/>
          <w:color w:val="000000"/>
          <w:sz w:val="28"/>
          <w:szCs w:val="28"/>
        </w:rPr>
      </w:pPr>
    </w:p>
    <w:p>
      <w:pPr>
        <w:tabs>
          <w:tab w:val="left" w:pos="8280"/>
        </w:tabs>
        <w:ind w:right="-1801"/>
        <w:rPr>
          <w:rFonts w:ascii="宋体" w:hAnsi="宋体"/>
          <w:b/>
          <w:color w:val="000000"/>
          <w:sz w:val="28"/>
          <w:szCs w:val="28"/>
        </w:rPr>
      </w:pPr>
    </w:p>
    <w:p>
      <w:pPr>
        <w:tabs>
          <w:tab w:val="left" w:pos="8280"/>
        </w:tabs>
        <w:ind w:right="-1801"/>
        <w:rPr>
          <w:rFonts w:ascii="宋体" w:hAnsi="宋体"/>
          <w:b/>
          <w:color w:val="000000"/>
          <w:sz w:val="28"/>
          <w:szCs w:val="28"/>
        </w:rPr>
      </w:pPr>
    </w:p>
    <w:p>
      <w:pPr>
        <w:tabs>
          <w:tab w:val="left" w:pos="8280"/>
        </w:tabs>
        <w:ind w:right="-1801"/>
        <w:rPr>
          <w:rFonts w:ascii="宋体" w:hAnsi="宋体"/>
          <w:b/>
          <w:color w:val="000000"/>
          <w:sz w:val="28"/>
          <w:szCs w:val="28"/>
        </w:rPr>
      </w:pPr>
      <w:r>
        <w:rPr>
          <w:rFonts w:hint="eastAsia" w:ascii="宋体" w:hAnsi="宋体"/>
          <w:b/>
          <w:color w:val="000000"/>
          <w:sz w:val="28"/>
          <w:szCs w:val="28"/>
        </w:rPr>
        <w:t>附件4</w:t>
      </w:r>
    </w:p>
    <w:p>
      <w:pPr>
        <w:tabs>
          <w:tab w:val="left" w:pos="8280"/>
        </w:tabs>
        <w:ind w:right="-1801"/>
        <w:rPr>
          <w:rFonts w:ascii="宋体" w:hAnsi="宋体"/>
          <w:color w:val="000000"/>
          <w:sz w:val="28"/>
          <w:szCs w:val="28"/>
        </w:rPr>
      </w:pPr>
      <w:r>
        <w:rPr>
          <w:rFonts w:hint="eastAsia" w:ascii="宋体" w:hAnsi="宋体"/>
          <w:color w:val="000000"/>
          <w:sz w:val="28"/>
          <w:szCs w:val="28"/>
        </w:rPr>
        <w:t>各类产品的分类指标及特定维保要求。</w:t>
      </w:r>
    </w:p>
    <w:p>
      <w:pPr>
        <w:tabs>
          <w:tab w:val="left" w:pos="8280"/>
        </w:tabs>
        <w:ind w:right="-1801"/>
        <w:rPr>
          <w:rFonts w:ascii="宋体" w:hAnsi="宋体"/>
          <w:color w:val="000000"/>
          <w:sz w:val="28"/>
          <w:szCs w:val="28"/>
        </w:rPr>
      </w:pPr>
      <w:r>
        <w:rPr>
          <w:rFonts w:hint="eastAsia" w:ascii="宋体" w:hAnsi="宋体"/>
          <w:color w:val="000000"/>
          <w:sz w:val="28"/>
          <w:szCs w:val="28"/>
        </w:rPr>
        <w:t>投标产品出厂保修期高于本附件要求的请注明</w:t>
      </w:r>
    </w:p>
    <w:p>
      <w:pPr>
        <w:tabs>
          <w:tab w:val="left" w:pos="8280"/>
        </w:tabs>
        <w:spacing w:line="360" w:lineRule="auto"/>
        <w:rPr>
          <w:rFonts w:ascii="宋体" w:hAnsi="宋体"/>
          <w:b/>
          <w:color w:val="000000"/>
          <w:sz w:val="28"/>
          <w:szCs w:val="28"/>
        </w:rPr>
      </w:pPr>
      <w:r>
        <w:rPr>
          <w:rFonts w:hint="eastAsia" w:ascii="宋体" w:hAnsi="宋体"/>
          <w:b/>
          <w:snapToGrid w:val="0"/>
          <w:color w:val="000000"/>
          <w:sz w:val="28"/>
        </w:rPr>
        <w:t>一、UPS电源</w:t>
      </w:r>
      <w:r>
        <w:rPr>
          <w:rFonts w:hint="eastAsia" w:ascii="宋体" w:hAnsi="宋体"/>
          <w:b/>
          <w:color w:val="000000"/>
          <w:sz w:val="28"/>
          <w:szCs w:val="28"/>
        </w:rPr>
        <w:t>：</w:t>
      </w:r>
    </w:p>
    <w:p>
      <w:pPr>
        <w:tabs>
          <w:tab w:val="left" w:pos="8280"/>
        </w:tabs>
        <w:spacing w:line="360" w:lineRule="auto"/>
        <w:ind w:firstLine="560" w:firstLineChars="200"/>
        <w:rPr>
          <w:rFonts w:ascii="宋体" w:hAnsi="宋体"/>
          <w:color w:val="000000"/>
          <w:sz w:val="28"/>
          <w:szCs w:val="28"/>
        </w:rPr>
      </w:pPr>
      <w:r>
        <w:rPr>
          <w:rFonts w:hint="eastAsia" w:ascii="宋体" w:hAnsi="宋体"/>
          <w:color w:val="000000"/>
          <w:sz w:val="28"/>
          <w:szCs w:val="28"/>
        </w:rPr>
        <w:t>主机：单进单出UPS，在线式不间断电源。</w:t>
      </w:r>
    </w:p>
    <w:p>
      <w:pPr>
        <w:tabs>
          <w:tab w:val="left" w:pos="8280"/>
        </w:tabs>
        <w:spacing w:line="360" w:lineRule="auto"/>
        <w:ind w:firstLine="560" w:firstLineChars="200"/>
        <w:rPr>
          <w:rFonts w:ascii="宋体" w:hAnsi="宋体"/>
          <w:color w:val="000000"/>
          <w:sz w:val="28"/>
          <w:szCs w:val="28"/>
        </w:rPr>
      </w:pPr>
      <w:r>
        <w:rPr>
          <w:rFonts w:hint="eastAsia" w:ascii="宋体" w:hAnsi="宋体"/>
          <w:color w:val="000000"/>
          <w:sz w:val="28"/>
          <w:szCs w:val="28"/>
        </w:rPr>
        <w:t>输入指标：电压范围：</w:t>
      </w:r>
      <w:r>
        <w:rPr>
          <w:rFonts w:ascii="宋体" w:hAnsi="宋体"/>
          <w:color w:val="000000"/>
          <w:sz w:val="28"/>
          <w:szCs w:val="28"/>
        </w:rPr>
        <w:t>16</w:t>
      </w:r>
      <w:r>
        <w:rPr>
          <w:rFonts w:hint="eastAsia" w:ascii="宋体" w:hAnsi="宋体"/>
          <w:color w:val="000000"/>
          <w:sz w:val="28"/>
          <w:szCs w:val="28"/>
        </w:rPr>
        <w:t>0</w:t>
      </w:r>
      <w:r>
        <w:rPr>
          <w:rFonts w:ascii="宋体" w:hAnsi="宋体"/>
          <w:color w:val="000000"/>
          <w:sz w:val="28"/>
          <w:szCs w:val="28"/>
        </w:rPr>
        <w:t>V</w:t>
      </w:r>
      <w:r>
        <w:rPr>
          <w:rFonts w:hint="eastAsia" w:ascii="宋体" w:hAnsi="宋体"/>
          <w:color w:val="000000"/>
          <w:sz w:val="28"/>
          <w:szCs w:val="28"/>
        </w:rPr>
        <w:t>～</w:t>
      </w:r>
      <w:r>
        <w:rPr>
          <w:rFonts w:ascii="宋体" w:hAnsi="宋体"/>
          <w:color w:val="000000"/>
          <w:sz w:val="28"/>
          <w:szCs w:val="28"/>
        </w:rPr>
        <w:t>2</w:t>
      </w:r>
      <w:r>
        <w:rPr>
          <w:rFonts w:hint="eastAsia" w:ascii="宋体" w:hAnsi="宋体"/>
          <w:color w:val="000000"/>
          <w:sz w:val="28"/>
          <w:szCs w:val="28"/>
        </w:rPr>
        <w:t>80</w:t>
      </w:r>
      <w:r>
        <w:rPr>
          <w:rFonts w:ascii="宋体" w:hAnsi="宋体"/>
          <w:color w:val="000000"/>
          <w:sz w:val="28"/>
          <w:szCs w:val="28"/>
        </w:rPr>
        <w:t>V</w:t>
      </w:r>
      <w:r>
        <w:rPr>
          <w:rFonts w:hint="eastAsia" w:ascii="宋体" w:hAnsi="宋体"/>
          <w:color w:val="000000"/>
          <w:sz w:val="28"/>
          <w:szCs w:val="28"/>
        </w:rPr>
        <w:t>，输入电流谐波失真（</w:t>
      </w:r>
      <w:r>
        <w:rPr>
          <w:rFonts w:ascii="宋体" w:hAnsi="宋体"/>
          <w:color w:val="000000"/>
          <w:sz w:val="28"/>
          <w:szCs w:val="28"/>
        </w:rPr>
        <w:t>THD</w:t>
      </w:r>
      <w:r>
        <w:rPr>
          <w:rFonts w:hint="eastAsia" w:ascii="宋体" w:hAnsi="宋体"/>
          <w:color w:val="000000"/>
          <w:sz w:val="28"/>
          <w:szCs w:val="28"/>
        </w:rPr>
        <w:t>）：＜</w:t>
      </w:r>
      <w:r>
        <w:rPr>
          <w:rFonts w:ascii="宋体" w:hAnsi="宋体"/>
          <w:color w:val="000000"/>
          <w:sz w:val="28"/>
          <w:szCs w:val="28"/>
        </w:rPr>
        <w:t xml:space="preserve"> 3%</w:t>
      </w:r>
      <w:r>
        <w:rPr>
          <w:rFonts w:hint="eastAsia" w:ascii="宋体" w:hAnsi="宋体"/>
          <w:color w:val="000000"/>
          <w:sz w:val="28"/>
          <w:szCs w:val="28"/>
        </w:rPr>
        <w:t>，输入频率：40 - 70 Hz（自动感测）。</w:t>
      </w:r>
    </w:p>
    <w:p>
      <w:pPr>
        <w:tabs>
          <w:tab w:val="left" w:pos="8280"/>
        </w:tabs>
        <w:spacing w:line="360" w:lineRule="auto"/>
        <w:ind w:firstLine="560" w:firstLineChars="200"/>
        <w:rPr>
          <w:rFonts w:ascii="宋体" w:hAnsi="宋体"/>
          <w:color w:val="000000"/>
          <w:sz w:val="28"/>
          <w:szCs w:val="28"/>
        </w:rPr>
      </w:pPr>
      <w:r>
        <w:rPr>
          <w:rFonts w:hint="eastAsia" w:ascii="宋体" w:hAnsi="宋体"/>
          <w:color w:val="000000"/>
          <w:sz w:val="28"/>
          <w:szCs w:val="28"/>
        </w:rPr>
        <w:t>输出指标：功率因数：≥0.8；电压：</w:t>
      </w:r>
      <w:r>
        <w:rPr>
          <w:rFonts w:ascii="宋体" w:hAnsi="宋体"/>
          <w:color w:val="000000"/>
          <w:sz w:val="28"/>
          <w:szCs w:val="28"/>
        </w:rPr>
        <w:t>220Vac</w:t>
      </w:r>
      <w:r>
        <w:rPr>
          <w:rFonts w:hint="eastAsia" w:ascii="宋体" w:hAnsi="宋体"/>
          <w:color w:val="000000"/>
          <w:sz w:val="28"/>
          <w:szCs w:val="28"/>
        </w:rPr>
        <w:t>±</w:t>
      </w:r>
      <w:r>
        <w:rPr>
          <w:rFonts w:ascii="宋体" w:hAnsi="宋体"/>
          <w:color w:val="000000"/>
          <w:sz w:val="28"/>
          <w:szCs w:val="28"/>
        </w:rPr>
        <w:t>1%</w:t>
      </w:r>
      <w:r>
        <w:rPr>
          <w:rFonts w:hint="eastAsia" w:ascii="宋体" w:hAnsi="宋体"/>
          <w:color w:val="000000"/>
          <w:sz w:val="28"/>
          <w:szCs w:val="28"/>
        </w:rPr>
        <w:t>,满负载效率≥90%；电压稳定性（瞬态）：≤±</w:t>
      </w:r>
      <w:r>
        <w:rPr>
          <w:rFonts w:ascii="宋体" w:hAnsi="宋体"/>
          <w:color w:val="000000"/>
          <w:sz w:val="28"/>
          <w:szCs w:val="28"/>
        </w:rPr>
        <w:t>1%</w:t>
      </w:r>
      <w:r>
        <w:rPr>
          <w:rFonts w:hint="eastAsia" w:ascii="宋体" w:hAnsi="宋体"/>
          <w:color w:val="000000"/>
          <w:sz w:val="28"/>
          <w:szCs w:val="28"/>
        </w:rPr>
        <w:t>。</w:t>
      </w:r>
    </w:p>
    <w:p>
      <w:pPr>
        <w:tabs>
          <w:tab w:val="left" w:pos="8280"/>
        </w:tabs>
        <w:spacing w:line="360" w:lineRule="auto"/>
        <w:ind w:firstLine="560" w:firstLineChars="200"/>
        <w:rPr>
          <w:rFonts w:ascii="宋体" w:hAnsi="宋体"/>
          <w:color w:val="000000"/>
          <w:sz w:val="28"/>
          <w:szCs w:val="28"/>
        </w:rPr>
      </w:pPr>
      <w:r>
        <w:rPr>
          <w:rFonts w:hint="eastAsia" w:ascii="宋体" w:hAnsi="宋体"/>
          <w:color w:val="000000"/>
          <w:sz w:val="28"/>
          <w:szCs w:val="28"/>
        </w:rPr>
        <w:t>转换时间：</w:t>
      </w:r>
      <w:r>
        <w:rPr>
          <w:rFonts w:ascii="宋体" w:hAnsi="宋体"/>
          <w:color w:val="000000"/>
          <w:sz w:val="28"/>
          <w:szCs w:val="28"/>
        </w:rPr>
        <w:t>0</w:t>
      </w:r>
      <w:r>
        <w:rPr>
          <w:rFonts w:hint="eastAsia" w:ascii="宋体" w:hAnsi="宋体"/>
          <w:color w:val="000000"/>
          <w:sz w:val="28"/>
          <w:szCs w:val="28"/>
        </w:rPr>
        <w:t>（</w:t>
      </w:r>
      <w:r>
        <w:rPr>
          <w:rFonts w:ascii="宋体" w:hAnsi="宋体"/>
          <w:color w:val="000000"/>
          <w:sz w:val="28"/>
          <w:szCs w:val="28"/>
        </w:rPr>
        <w:t>ms</w:t>
      </w:r>
      <w:r>
        <w:rPr>
          <w:rFonts w:hint="eastAsia" w:ascii="宋体" w:hAnsi="宋体"/>
          <w:color w:val="000000"/>
          <w:sz w:val="28"/>
          <w:szCs w:val="28"/>
        </w:rPr>
        <w:t>）。</w:t>
      </w:r>
    </w:p>
    <w:p>
      <w:pPr>
        <w:tabs>
          <w:tab w:val="left" w:pos="8280"/>
        </w:tabs>
        <w:spacing w:line="360" w:lineRule="auto"/>
        <w:ind w:firstLine="560" w:firstLineChars="200"/>
        <w:rPr>
          <w:rFonts w:ascii="宋体" w:hAnsi="宋体"/>
          <w:color w:val="000000"/>
          <w:sz w:val="28"/>
          <w:szCs w:val="28"/>
        </w:rPr>
      </w:pPr>
      <w:r>
        <w:rPr>
          <w:rFonts w:hint="eastAsia" w:ascii="宋体" w:hAnsi="宋体"/>
          <w:color w:val="000000"/>
          <w:sz w:val="28"/>
          <w:szCs w:val="28"/>
        </w:rPr>
        <w:t>信号状态显示：LED状态显示：在线、旁路、电池低电压、电池故障、过载、逆变故障、UPS故障。</w:t>
      </w:r>
    </w:p>
    <w:p>
      <w:pPr>
        <w:tabs>
          <w:tab w:val="left" w:pos="8280"/>
        </w:tabs>
        <w:spacing w:line="360" w:lineRule="auto"/>
        <w:ind w:firstLine="560" w:firstLineChars="200"/>
        <w:rPr>
          <w:rFonts w:ascii="宋体" w:hAnsi="宋体"/>
          <w:color w:val="000000"/>
          <w:sz w:val="28"/>
          <w:szCs w:val="28"/>
        </w:rPr>
      </w:pPr>
      <w:r>
        <w:rPr>
          <w:rFonts w:hint="eastAsia" w:ascii="宋体" w:hAnsi="宋体"/>
          <w:color w:val="000000"/>
          <w:sz w:val="28"/>
          <w:szCs w:val="28"/>
        </w:rPr>
        <w:t>旁路方式：过载自动旁路，</w:t>
      </w:r>
      <w:r>
        <w:rPr>
          <w:rFonts w:ascii="宋体" w:hAnsi="宋体"/>
          <w:color w:val="000000"/>
          <w:sz w:val="28"/>
          <w:szCs w:val="28"/>
        </w:rPr>
        <w:t>UPS</w:t>
      </w:r>
      <w:r>
        <w:rPr>
          <w:rFonts w:hint="eastAsia" w:ascii="宋体" w:hAnsi="宋体"/>
          <w:color w:val="000000"/>
          <w:sz w:val="28"/>
          <w:szCs w:val="28"/>
        </w:rPr>
        <w:t>故障自动旁路，原装手动维修旁路。</w:t>
      </w:r>
    </w:p>
    <w:p>
      <w:pPr>
        <w:tabs>
          <w:tab w:val="left" w:pos="8280"/>
        </w:tabs>
        <w:spacing w:line="360" w:lineRule="auto"/>
        <w:ind w:firstLine="560" w:firstLineChars="200"/>
        <w:rPr>
          <w:rFonts w:ascii="宋体" w:hAnsi="宋体"/>
          <w:color w:val="000000"/>
          <w:sz w:val="28"/>
          <w:szCs w:val="28"/>
        </w:rPr>
      </w:pPr>
      <w:r>
        <w:rPr>
          <w:rFonts w:hint="eastAsia" w:ascii="宋体" w:hAnsi="宋体"/>
          <w:color w:val="000000"/>
          <w:sz w:val="28"/>
          <w:szCs w:val="28"/>
        </w:rPr>
        <w:t>保护功能：短路保护、过载保护、电池欠压保护、过温保护，温度补偿功能。</w:t>
      </w:r>
    </w:p>
    <w:p>
      <w:pPr>
        <w:tabs>
          <w:tab w:val="left" w:pos="8280"/>
        </w:tabs>
        <w:spacing w:line="360" w:lineRule="auto"/>
        <w:ind w:firstLine="560" w:firstLineChars="200"/>
        <w:rPr>
          <w:rFonts w:ascii="宋体" w:hAnsi="宋体"/>
          <w:color w:val="000000"/>
          <w:sz w:val="28"/>
          <w:szCs w:val="28"/>
        </w:rPr>
      </w:pPr>
      <w:r>
        <w:rPr>
          <w:rFonts w:hint="eastAsia" w:ascii="宋体" w:hAnsi="宋体"/>
          <w:color w:val="000000"/>
          <w:sz w:val="28"/>
          <w:szCs w:val="28"/>
        </w:rPr>
        <w:t>电池管理技术：UPS具有对电池自动充电及自动放电维护功能,时刻检测电池的电压，电流。</w:t>
      </w:r>
    </w:p>
    <w:p>
      <w:pPr>
        <w:tabs>
          <w:tab w:val="left" w:pos="8280"/>
        </w:tabs>
        <w:spacing w:line="360" w:lineRule="auto"/>
        <w:ind w:firstLine="420" w:firstLineChars="150"/>
        <w:rPr>
          <w:rFonts w:ascii="宋体" w:hAnsi="宋体"/>
          <w:color w:val="000000"/>
          <w:sz w:val="28"/>
          <w:szCs w:val="28"/>
        </w:rPr>
      </w:pPr>
      <w:r>
        <w:rPr>
          <w:rFonts w:hint="eastAsia" w:ascii="宋体" w:hAnsi="宋体"/>
          <w:color w:val="000000"/>
          <w:sz w:val="28"/>
          <w:szCs w:val="28"/>
        </w:rPr>
        <w:t xml:space="preserve"> 有声报警：市电停电时报警，特别的低电池报警。</w:t>
      </w:r>
    </w:p>
    <w:p>
      <w:pPr>
        <w:tabs>
          <w:tab w:val="left" w:pos="8280"/>
        </w:tabs>
        <w:spacing w:line="360" w:lineRule="auto"/>
        <w:rPr>
          <w:rFonts w:ascii="宋体" w:hAnsi="宋体"/>
          <w:color w:val="000000"/>
          <w:sz w:val="28"/>
          <w:szCs w:val="28"/>
        </w:rPr>
      </w:pPr>
      <w:r>
        <w:rPr>
          <w:rFonts w:hint="eastAsia" w:ascii="宋体" w:hAnsi="宋体"/>
          <w:color w:val="000000"/>
          <w:sz w:val="28"/>
          <w:szCs w:val="28"/>
          <w:lang w:val="en-US" w:eastAsia="zh-CN"/>
        </w:rPr>
        <w:t xml:space="preserve">    </w:t>
      </w:r>
      <w:r>
        <w:rPr>
          <w:rFonts w:hint="eastAsia" w:ascii="宋体" w:hAnsi="宋体"/>
          <w:color w:val="000000"/>
          <w:sz w:val="28"/>
          <w:szCs w:val="28"/>
        </w:rPr>
        <w:t>经济模式（</w:t>
      </w:r>
      <w:r>
        <w:rPr>
          <w:rFonts w:ascii="宋体" w:hAnsi="宋体"/>
          <w:color w:val="000000"/>
          <w:sz w:val="28"/>
          <w:szCs w:val="28"/>
        </w:rPr>
        <w:t>ECO</w:t>
      </w:r>
      <w:r>
        <w:rPr>
          <w:rFonts w:hint="eastAsia" w:ascii="宋体" w:hAnsi="宋体"/>
          <w:color w:val="000000"/>
          <w:sz w:val="28"/>
          <w:szCs w:val="28"/>
        </w:rPr>
        <w:t>）和主逆模式：当</w:t>
      </w:r>
      <w:r>
        <w:rPr>
          <w:rFonts w:ascii="宋体" w:hAnsi="宋体"/>
          <w:color w:val="000000"/>
          <w:sz w:val="28"/>
          <w:szCs w:val="28"/>
        </w:rPr>
        <w:t>UPS</w:t>
      </w:r>
      <w:r>
        <w:rPr>
          <w:rFonts w:hint="eastAsia" w:ascii="宋体" w:hAnsi="宋体"/>
          <w:color w:val="000000"/>
          <w:sz w:val="28"/>
          <w:szCs w:val="28"/>
        </w:rPr>
        <w:t>工作在经济模式时，以达到节省能源之目的，如输入市电发生异常，系统自动转移到</w:t>
      </w:r>
      <w:r>
        <w:rPr>
          <w:rFonts w:ascii="宋体" w:hAnsi="宋体"/>
          <w:color w:val="000000"/>
          <w:sz w:val="28"/>
          <w:szCs w:val="28"/>
        </w:rPr>
        <w:t>UPS</w:t>
      </w:r>
      <w:r>
        <w:rPr>
          <w:rFonts w:hint="eastAsia" w:ascii="宋体" w:hAnsi="宋体"/>
          <w:color w:val="000000"/>
          <w:sz w:val="28"/>
          <w:szCs w:val="28"/>
        </w:rPr>
        <w:t>主逆变供电。</w:t>
      </w:r>
    </w:p>
    <w:p>
      <w:pPr>
        <w:tabs>
          <w:tab w:val="left" w:pos="8280"/>
        </w:tabs>
        <w:spacing w:line="360" w:lineRule="auto"/>
        <w:ind w:firstLine="618" w:firstLineChars="221"/>
        <w:rPr>
          <w:rFonts w:ascii="宋体" w:hAnsi="宋体"/>
          <w:color w:val="000000"/>
          <w:sz w:val="28"/>
          <w:szCs w:val="28"/>
        </w:rPr>
      </w:pPr>
      <w:r>
        <w:rPr>
          <w:rFonts w:hint="eastAsia" w:ascii="宋体" w:hAnsi="宋体"/>
          <w:color w:val="000000"/>
          <w:sz w:val="28"/>
          <w:szCs w:val="28"/>
        </w:rPr>
        <w:t>通讯与管理：具有通讯联网功能，</w:t>
      </w:r>
      <w:r>
        <w:rPr>
          <w:rFonts w:ascii="宋体" w:hAnsi="宋体"/>
          <w:color w:val="000000"/>
          <w:sz w:val="28"/>
          <w:szCs w:val="28"/>
        </w:rPr>
        <w:t>UPS</w:t>
      </w:r>
      <w:r>
        <w:rPr>
          <w:rFonts w:hint="eastAsia" w:ascii="宋体" w:hAnsi="宋体"/>
          <w:color w:val="000000"/>
          <w:sz w:val="28"/>
          <w:szCs w:val="28"/>
        </w:rPr>
        <w:t>可采用干接点、</w:t>
      </w:r>
      <w:r>
        <w:rPr>
          <w:rFonts w:ascii="宋体" w:hAnsi="宋体"/>
          <w:color w:val="000000"/>
          <w:sz w:val="28"/>
          <w:szCs w:val="28"/>
        </w:rPr>
        <w:t>SNMP</w:t>
      </w:r>
      <w:r>
        <w:rPr>
          <w:rFonts w:hint="eastAsia" w:ascii="宋体" w:hAnsi="宋体"/>
          <w:color w:val="000000"/>
          <w:sz w:val="28"/>
          <w:szCs w:val="28"/>
        </w:rPr>
        <w:t>卡或</w:t>
      </w:r>
      <w:r>
        <w:rPr>
          <w:rFonts w:ascii="宋体" w:hAnsi="宋体"/>
          <w:color w:val="000000"/>
          <w:sz w:val="28"/>
          <w:szCs w:val="28"/>
        </w:rPr>
        <w:t xml:space="preserve">Modem </w:t>
      </w:r>
      <w:r>
        <w:rPr>
          <w:rFonts w:hint="eastAsia" w:ascii="宋体" w:hAnsi="宋体"/>
          <w:color w:val="000000"/>
          <w:sz w:val="28"/>
          <w:szCs w:val="28"/>
        </w:rPr>
        <w:t>等多种通信接口，实现网络远程管理。</w:t>
      </w:r>
    </w:p>
    <w:p>
      <w:pPr>
        <w:tabs>
          <w:tab w:val="left" w:pos="8280"/>
        </w:tabs>
        <w:spacing w:line="360" w:lineRule="auto"/>
        <w:ind w:firstLine="618" w:firstLineChars="221"/>
        <w:rPr>
          <w:rFonts w:ascii="宋体" w:hAnsi="宋体"/>
          <w:color w:val="000000"/>
          <w:sz w:val="28"/>
          <w:szCs w:val="28"/>
        </w:rPr>
      </w:pPr>
      <w:r>
        <w:rPr>
          <w:rFonts w:hint="eastAsia" w:ascii="宋体" w:hAnsi="宋体"/>
          <w:color w:val="000000"/>
          <w:sz w:val="28"/>
          <w:szCs w:val="28"/>
        </w:rPr>
        <w:t>特定维保：每年两次巡检，时间由用户确定。</w:t>
      </w:r>
    </w:p>
    <w:p>
      <w:pPr>
        <w:tabs>
          <w:tab w:val="left" w:pos="8280"/>
        </w:tabs>
        <w:spacing w:line="360" w:lineRule="auto"/>
        <w:ind w:firstLine="618" w:firstLineChars="221"/>
        <w:rPr>
          <w:rFonts w:ascii="宋体" w:hAnsi="宋体"/>
          <w:color w:val="000000"/>
          <w:sz w:val="28"/>
          <w:szCs w:val="28"/>
        </w:rPr>
      </w:pPr>
      <w:r>
        <w:rPr>
          <w:rFonts w:hint="eastAsia" w:ascii="宋体" w:hAnsi="宋体"/>
          <w:color w:val="000000"/>
          <w:sz w:val="28"/>
          <w:szCs w:val="28"/>
        </w:rPr>
        <w:t>回收服务： 提供报废UPS回收服务。</w:t>
      </w:r>
    </w:p>
    <w:p>
      <w:pPr>
        <w:tabs>
          <w:tab w:val="left" w:pos="8280"/>
        </w:tabs>
        <w:spacing w:line="360" w:lineRule="auto"/>
        <w:ind w:firstLine="618" w:firstLineChars="221"/>
        <w:rPr>
          <w:rFonts w:ascii="宋体" w:hAnsi="宋体"/>
          <w:color w:val="000000"/>
          <w:sz w:val="28"/>
          <w:szCs w:val="28"/>
        </w:rPr>
      </w:pPr>
      <w:r>
        <w:rPr>
          <w:rFonts w:hint="eastAsia" w:ascii="宋体" w:hAnsi="宋体"/>
          <w:color w:val="000000"/>
          <w:sz w:val="28"/>
          <w:szCs w:val="28"/>
        </w:rPr>
        <w:t>免费保修期：原厂三年，三年过后，经销商另增加二年保修。</w:t>
      </w:r>
    </w:p>
    <w:p>
      <w:pPr>
        <w:tabs>
          <w:tab w:val="left" w:pos="8280"/>
        </w:tabs>
        <w:spacing w:line="360" w:lineRule="auto"/>
        <w:ind w:firstLine="618" w:firstLineChars="221"/>
        <w:rPr>
          <w:rFonts w:ascii="宋体" w:hAnsi="宋体"/>
          <w:color w:val="000000"/>
          <w:sz w:val="28"/>
          <w:szCs w:val="28"/>
        </w:rPr>
      </w:pPr>
      <w:r>
        <w:rPr>
          <w:rFonts w:hint="eastAsia" w:ascii="宋体" w:hAnsi="宋体"/>
          <w:color w:val="000000"/>
          <w:sz w:val="28"/>
          <w:szCs w:val="28"/>
        </w:rPr>
        <w:t>培训：投标人应每年在招标方工作地点对招标方维护人员进行不低于8小时的培训，具体培训时间由招标方确定。</w:t>
      </w:r>
    </w:p>
    <w:p>
      <w:pPr>
        <w:tabs>
          <w:tab w:val="left" w:pos="8280"/>
        </w:tabs>
        <w:spacing w:line="360" w:lineRule="auto"/>
        <w:rPr>
          <w:rFonts w:ascii="宋体" w:hAnsi="宋体"/>
          <w:b/>
          <w:color w:val="000000"/>
          <w:sz w:val="28"/>
          <w:szCs w:val="28"/>
        </w:rPr>
      </w:pPr>
      <w:r>
        <w:rPr>
          <w:rFonts w:hint="eastAsia" w:ascii="宋体" w:hAnsi="宋体"/>
          <w:b/>
          <w:snapToGrid w:val="0"/>
          <w:color w:val="000000"/>
          <w:sz w:val="28"/>
        </w:rPr>
        <w:t>二、蓄电池</w:t>
      </w:r>
      <w:r>
        <w:rPr>
          <w:rFonts w:hint="eastAsia" w:ascii="宋体" w:hAnsi="宋体"/>
          <w:b/>
          <w:color w:val="000000"/>
          <w:sz w:val="28"/>
          <w:szCs w:val="28"/>
        </w:rPr>
        <w:t>：</w:t>
      </w:r>
    </w:p>
    <w:p>
      <w:pPr>
        <w:tabs>
          <w:tab w:val="left" w:pos="8280"/>
        </w:tabs>
        <w:spacing w:line="360" w:lineRule="auto"/>
        <w:ind w:firstLine="480"/>
        <w:rPr>
          <w:rFonts w:ascii="宋体" w:hAnsi="宋体"/>
          <w:color w:val="000000"/>
          <w:sz w:val="28"/>
          <w:szCs w:val="28"/>
        </w:rPr>
      </w:pPr>
      <w:r>
        <w:rPr>
          <w:rFonts w:hint="eastAsia" w:ascii="宋体" w:hAnsi="宋体"/>
          <w:color w:val="000000"/>
          <w:sz w:val="28"/>
          <w:szCs w:val="28"/>
        </w:rPr>
        <w:t>电池产品特点：</w:t>
      </w:r>
    </w:p>
    <w:p>
      <w:pPr>
        <w:tabs>
          <w:tab w:val="left" w:pos="8280"/>
        </w:tabs>
        <w:spacing w:line="360" w:lineRule="auto"/>
        <w:ind w:firstLine="480"/>
        <w:rPr>
          <w:rFonts w:ascii="宋体" w:hAnsi="宋体"/>
          <w:color w:val="000000"/>
          <w:sz w:val="28"/>
          <w:szCs w:val="28"/>
        </w:rPr>
      </w:pPr>
      <w:r>
        <w:rPr>
          <w:rFonts w:hint="eastAsia" w:ascii="宋体" w:hAnsi="宋体"/>
          <w:color w:val="000000"/>
          <w:sz w:val="28"/>
          <w:szCs w:val="28"/>
        </w:rPr>
        <w:t>ABS结构，不漏液；低自放电率，可防火；可多方位安装使用；高品质AGM隔膜和铅钙合金极板。</w:t>
      </w:r>
    </w:p>
    <w:p>
      <w:pPr>
        <w:tabs>
          <w:tab w:val="left" w:pos="8280"/>
        </w:tabs>
        <w:spacing w:line="360" w:lineRule="auto"/>
        <w:ind w:firstLine="480"/>
        <w:rPr>
          <w:rFonts w:ascii="宋体" w:hAnsi="宋体"/>
          <w:color w:val="000000"/>
          <w:sz w:val="28"/>
          <w:szCs w:val="28"/>
        </w:rPr>
      </w:pPr>
      <w:r>
        <w:rPr>
          <w:rFonts w:hint="eastAsia" w:ascii="宋体" w:hAnsi="宋体"/>
          <w:color w:val="000000"/>
          <w:sz w:val="28"/>
          <w:szCs w:val="28"/>
        </w:rPr>
        <w:t>产品特性:</w:t>
      </w:r>
    </w:p>
    <w:p>
      <w:pPr>
        <w:tabs>
          <w:tab w:val="left" w:pos="8280"/>
        </w:tabs>
        <w:spacing w:line="360" w:lineRule="auto"/>
        <w:ind w:firstLine="480"/>
        <w:rPr>
          <w:rFonts w:ascii="宋体" w:hAnsi="宋体"/>
          <w:color w:val="000000"/>
          <w:sz w:val="28"/>
          <w:szCs w:val="28"/>
        </w:rPr>
      </w:pPr>
      <w:r>
        <w:rPr>
          <w:rFonts w:hint="eastAsia" w:ascii="宋体" w:hAnsi="宋体"/>
          <w:color w:val="000000"/>
          <w:sz w:val="28"/>
          <w:szCs w:val="28"/>
        </w:rPr>
        <w:t>额定电压：</w:t>
      </w:r>
      <w:r>
        <w:rPr>
          <w:rFonts w:ascii="宋体" w:hAnsi="宋体"/>
          <w:color w:val="000000"/>
          <w:sz w:val="28"/>
          <w:szCs w:val="28"/>
        </w:rPr>
        <w:t>12V</w:t>
      </w:r>
      <w:r>
        <w:rPr>
          <w:rFonts w:hint="eastAsia" w:ascii="宋体" w:hAnsi="宋体"/>
          <w:color w:val="000000"/>
          <w:sz w:val="28"/>
          <w:szCs w:val="28"/>
        </w:rPr>
        <w:t>。</w:t>
      </w:r>
    </w:p>
    <w:p>
      <w:pPr>
        <w:tabs>
          <w:tab w:val="left" w:pos="8280"/>
        </w:tabs>
        <w:spacing w:line="360" w:lineRule="auto"/>
        <w:ind w:firstLine="480"/>
        <w:rPr>
          <w:rFonts w:ascii="宋体" w:hAnsi="宋体"/>
          <w:color w:val="000000"/>
          <w:sz w:val="28"/>
          <w:szCs w:val="28"/>
        </w:rPr>
      </w:pPr>
      <w:r>
        <w:rPr>
          <w:rFonts w:hint="eastAsia" w:ascii="宋体" w:hAnsi="宋体"/>
          <w:color w:val="000000"/>
          <w:sz w:val="28"/>
          <w:szCs w:val="28"/>
        </w:rPr>
        <w:t>内阻：≤6mΩ。</w:t>
      </w:r>
    </w:p>
    <w:p>
      <w:pPr>
        <w:tabs>
          <w:tab w:val="left" w:pos="8280"/>
        </w:tabs>
        <w:spacing w:line="360" w:lineRule="auto"/>
        <w:ind w:firstLine="480"/>
        <w:rPr>
          <w:rFonts w:ascii="宋体" w:hAnsi="宋体"/>
          <w:color w:val="000000"/>
          <w:sz w:val="28"/>
          <w:szCs w:val="28"/>
        </w:rPr>
      </w:pPr>
      <w:r>
        <w:rPr>
          <w:rFonts w:hint="eastAsia" w:ascii="宋体" w:hAnsi="宋体"/>
          <w:color w:val="000000"/>
          <w:sz w:val="28"/>
          <w:szCs w:val="28"/>
        </w:rPr>
        <w:t>特征：</w:t>
      </w:r>
      <w:r>
        <w:rPr>
          <w:rFonts w:hint="eastAsia" w:ascii="宋体" w:hAnsi="宋体"/>
          <w:color w:val="000000"/>
          <w:sz w:val="28"/>
          <w:szCs w:val="28"/>
          <w:highlight w:val="yellow"/>
        </w:rPr>
        <w:t>100AH每节电池净重≥</w:t>
      </w:r>
      <w:r>
        <w:rPr>
          <w:rFonts w:hint="eastAsia" w:ascii="宋体" w:hAnsi="宋体"/>
          <w:color w:val="000000"/>
          <w:sz w:val="28"/>
          <w:szCs w:val="28"/>
          <w:highlight w:val="yellow"/>
          <w:lang w:val="en-US" w:eastAsia="zh-CN"/>
        </w:rPr>
        <w:t>27</w:t>
      </w:r>
      <w:r>
        <w:rPr>
          <w:rFonts w:hint="eastAsia" w:ascii="宋体" w:hAnsi="宋体"/>
          <w:color w:val="000000"/>
          <w:sz w:val="28"/>
          <w:szCs w:val="28"/>
          <w:highlight w:val="yellow"/>
        </w:rPr>
        <w:t>Kg</w:t>
      </w:r>
      <w:r>
        <w:rPr>
          <w:rFonts w:hint="eastAsia" w:ascii="宋体" w:hAnsi="宋体"/>
          <w:color w:val="000000"/>
          <w:sz w:val="28"/>
          <w:szCs w:val="28"/>
        </w:rPr>
        <w:t>、</w:t>
      </w:r>
      <w:r>
        <w:rPr>
          <w:rFonts w:ascii="宋体" w:hAnsi="宋体"/>
          <w:color w:val="000000"/>
          <w:sz w:val="28"/>
          <w:szCs w:val="28"/>
        </w:rPr>
        <w:t>无游离酸，电池可倒放90°安全使用。极低的电解液比</w:t>
      </w:r>
      <w:r>
        <w:rPr>
          <w:rFonts w:hint="eastAsia" w:ascii="宋体" w:hAnsi="宋体"/>
          <w:color w:val="000000"/>
          <w:sz w:val="28"/>
          <w:szCs w:val="28"/>
        </w:rPr>
        <w:t>。</w:t>
      </w:r>
    </w:p>
    <w:p>
      <w:pPr>
        <w:tabs>
          <w:tab w:val="left" w:pos="8280"/>
        </w:tabs>
        <w:spacing w:line="360" w:lineRule="auto"/>
        <w:ind w:firstLine="480"/>
        <w:rPr>
          <w:rFonts w:ascii="宋体" w:hAnsi="宋体"/>
          <w:color w:val="000000"/>
          <w:sz w:val="28"/>
          <w:szCs w:val="28"/>
        </w:rPr>
      </w:pPr>
      <w:r>
        <w:rPr>
          <w:rFonts w:hint="eastAsia" w:ascii="宋体" w:hAnsi="宋体"/>
          <w:color w:val="000000"/>
          <w:sz w:val="28"/>
          <w:szCs w:val="28"/>
        </w:rPr>
        <w:t>使用的环境温度：-15～45℃。</w:t>
      </w:r>
    </w:p>
    <w:p>
      <w:pPr>
        <w:tabs>
          <w:tab w:val="left" w:pos="8280"/>
        </w:tabs>
        <w:spacing w:line="360" w:lineRule="auto"/>
        <w:ind w:firstLine="480"/>
        <w:rPr>
          <w:rFonts w:ascii="宋体" w:hAnsi="宋体"/>
          <w:color w:val="000000"/>
          <w:sz w:val="28"/>
          <w:szCs w:val="28"/>
        </w:rPr>
      </w:pPr>
      <w:r>
        <w:rPr>
          <w:rFonts w:hint="eastAsia" w:ascii="宋体" w:hAnsi="宋体"/>
          <w:color w:val="000000"/>
          <w:sz w:val="28"/>
          <w:szCs w:val="28"/>
        </w:rPr>
        <w:t>特定维保：每年两次巡检，时间由用户确定。</w:t>
      </w:r>
    </w:p>
    <w:p>
      <w:pPr>
        <w:tabs>
          <w:tab w:val="left" w:pos="8280"/>
        </w:tabs>
        <w:spacing w:line="360" w:lineRule="auto"/>
        <w:ind w:firstLine="480"/>
        <w:rPr>
          <w:rFonts w:ascii="宋体" w:hAnsi="宋体"/>
          <w:color w:val="000000"/>
          <w:sz w:val="28"/>
          <w:szCs w:val="28"/>
        </w:rPr>
      </w:pPr>
      <w:r>
        <w:rPr>
          <w:rFonts w:hint="eastAsia" w:ascii="宋体" w:hAnsi="宋体"/>
          <w:color w:val="000000"/>
          <w:sz w:val="28"/>
          <w:szCs w:val="28"/>
        </w:rPr>
        <w:t>回收服务： 提供报废电池回收服务。</w:t>
      </w:r>
    </w:p>
    <w:p>
      <w:pPr>
        <w:tabs>
          <w:tab w:val="left" w:pos="8280"/>
        </w:tabs>
        <w:spacing w:line="360" w:lineRule="auto"/>
        <w:ind w:firstLine="480"/>
        <w:rPr>
          <w:rFonts w:ascii="宋体" w:hAnsi="宋体"/>
          <w:color w:val="000000"/>
          <w:sz w:val="28"/>
          <w:szCs w:val="28"/>
        </w:rPr>
      </w:pPr>
      <w:r>
        <w:rPr>
          <w:rFonts w:hint="eastAsia" w:ascii="宋体" w:hAnsi="宋体"/>
          <w:color w:val="000000"/>
          <w:sz w:val="28"/>
          <w:szCs w:val="28"/>
        </w:rPr>
        <w:t>免费保修期：原厂三年。</w:t>
      </w:r>
    </w:p>
    <w:p>
      <w:pPr>
        <w:tabs>
          <w:tab w:val="left" w:pos="8280"/>
        </w:tabs>
        <w:spacing w:line="360" w:lineRule="auto"/>
        <w:ind w:firstLine="480"/>
        <w:rPr>
          <w:rFonts w:ascii="宋体" w:hAnsi="宋体"/>
          <w:color w:val="000000"/>
          <w:sz w:val="28"/>
          <w:szCs w:val="28"/>
        </w:rPr>
      </w:pPr>
      <w:r>
        <w:rPr>
          <w:rFonts w:hint="eastAsia" w:ascii="宋体" w:hAnsi="宋体"/>
          <w:color w:val="000000"/>
          <w:sz w:val="28"/>
          <w:szCs w:val="28"/>
        </w:rPr>
        <w:t>随电池报价提供电池柜等相关辅材的报价，招标方视需求采购。</w:t>
      </w:r>
    </w:p>
    <w:p>
      <w:pPr>
        <w:tabs>
          <w:tab w:val="left" w:pos="8280"/>
        </w:tabs>
        <w:spacing w:line="360" w:lineRule="auto"/>
        <w:ind w:firstLine="480"/>
        <w:rPr>
          <w:rFonts w:ascii="宋体" w:hAnsi="宋体"/>
          <w:color w:val="000000"/>
          <w:sz w:val="28"/>
          <w:szCs w:val="28"/>
        </w:rPr>
      </w:pPr>
    </w:p>
    <w:p>
      <w:pPr>
        <w:tabs>
          <w:tab w:val="left" w:pos="8280"/>
        </w:tabs>
        <w:ind w:right="-1801"/>
        <w:rPr>
          <w:rFonts w:ascii="宋体" w:hAnsi="宋体"/>
          <w:color w:val="000000"/>
          <w:sz w:val="28"/>
          <w:szCs w:val="28"/>
        </w:rPr>
      </w:pPr>
      <w:r>
        <w:rPr>
          <w:rFonts w:hint="eastAsia" w:ascii="宋体" w:hAnsi="宋体"/>
          <w:b/>
          <w:color w:val="000000"/>
          <w:sz w:val="28"/>
          <w:szCs w:val="28"/>
        </w:rPr>
        <w:t xml:space="preserve">附件5 </w:t>
      </w:r>
    </w:p>
    <w:p>
      <w:pPr>
        <w:ind w:right="-1801" w:firstLine="3345" w:firstLineChars="1190"/>
        <w:rPr>
          <w:rFonts w:ascii="宋体" w:hAnsi="宋体"/>
          <w:b/>
          <w:color w:val="000000"/>
          <w:sz w:val="28"/>
          <w:szCs w:val="28"/>
        </w:rPr>
      </w:pPr>
      <w:r>
        <w:rPr>
          <w:rFonts w:hint="eastAsia" w:ascii="宋体" w:hAnsi="宋体"/>
          <w:b/>
          <w:color w:val="000000"/>
          <w:sz w:val="28"/>
          <w:szCs w:val="28"/>
        </w:rPr>
        <w:t>投标价格一览表</w:t>
      </w:r>
    </w:p>
    <w:p>
      <w:pPr>
        <w:autoSpaceDE w:val="0"/>
        <w:autoSpaceDN w:val="0"/>
        <w:rPr>
          <w:rFonts w:ascii="宋体" w:hAnsi="宋体"/>
          <w:color w:val="000000"/>
          <w:sz w:val="28"/>
          <w:szCs w:val="28"/>
        </w:rPr>
      </w:pPr>
      <w:r>
        <w:rPr>
          <w:rFonts w:hint="eastAsia" w:ascii="宋体" w:hAnsi="宋体"/>
          <w:color w:val="000000"/>
          <w:sz w:val="28"/>
          <w:szCs w:val="28"/>
        </w:rPr>
        <w:t>注：</w:t>
      </w:r>
      <w:r>
        <w:rPr>
          <w:rFonts w:hint="eastAsia" w:ascii="宋体" w:hAnsi="宋体"/>
          <w:b/>
          <w:color w:val="000000"/>
          <w:sz w:val="28"/>
          <w:szCs w:val="28"/>
          <w:u w:val="single"/>
        </w:rPr>
        <w:t>此表应装入独立信封内密封</w:t>
      </w:r>
      <w:r>
        <w:rPr>
          <w:rFonts w:hint="eastAsia" w:ascii="宋体" w:hAnsi="宋体"/>
          <w:color w:val="000000"/>
          <w:sz w:val="28"/>
          <w:szCs w:val="28"/>
        </w:rPr>
        <w:t>，不得与投标书主体文件一同封装或装订。</w:t>
      </w:r>
      <w:r>
        <w:rPr>
          <w:rFonts w:hint="eastAsia" w:ascii="宋体" w:hAnsi="宋体"/>
          <w:sz w:val="28"/>
          <w:szCs w:val="28"/>
        </w:rPr>
        <w:t xml:space="preserve">投标价格一览表由以下两个部分组成： </w:t>
      </w:r>
    </w:p>
    <w:p>
      <w:pPr>
        <w:tabs>
          <w:tab w:val="left" w:pos="752"/>
        </w:tabs>
        <w:jc w:val="left"/>
        <w:rPr>
          <w:rFonts w:ascii="宋体" w:hAnsi="宋体"/>
          <w:b/>
          <w:sz w:val="28"/>
          <w:szCs w:val="28"/>
        </w:rPr>
      </w:pPr>
      <w:r>
        <w:rPr>
          <w:rFonts w:hint="eastAsia" w:ascii="宋体" w:hAnsi="宋体"/>
          <w:b/>
          <w:sz w:val="28"/>
          <w:szCs w:val="28"/>
        </w:rPr>
        <w:t>一、设备报价</w:t>
      </w:r>
    </w:p>
    <w:p>
      <w:pPr>
        <w:rPr>
          <w:rFonts w:ascii="宋体" w:hAnsi="宋体"/>
          <w:sz w:val="28"/>
          <w:szCs w:val="28"/>
        </w:rPr>
      </w:pPr>
      <w:r>
        <w:rPr>
          <w:rFonts w:hint="eastAsia" w:ascii="宋体" w:hAnsi="宋体"/>
          <w:sz w:val="28"/>
          <w:szCs w:val="28"/>
        </w:rPr>
        <w:t>投标单位请按照以下表格格式填写所投设备报价。</w:t>
      </w:r>
    </w:p>
    <w:p>
      <w:pPr>
        <w:rPr>
          <w:rFonts w:ascii="宋体" w:hAnsi="宋体"/>
          <w:sz w:val="28"/>
          <w:szCs w:val="28"/>
          <w:u w:val="single"/>
        </w:rPr>
      </w:pPr>
      <w:r>
        <w:rPr>
          <w:rFonts w:hint="eastAsia" w:ascii="宋体" w:hAnsi="宋体"/>
          <w:sz w:val="28"/>
          <w:szCs w:val="28"/>
          <w:u w:val="single"/>
        </w:rPr>
        <w:t>投标第一第二类产品的投标人，应该在UPS、蓄电池、电池柜各至少选择一个产品（可满足UPS、电池、电池柜组合）投标。</w:t>
      </w:r>
    </w:p>
    <w:tbl>
      <w:tblPr>
        <w:tblStyle w:val="23"/>
        <w:tblW w:w="9830" w:type="dxa"/>
        <w:jc w:val="center"/>
        <w:tblInd w:w="289" w:type="dxa"/>
        <w:tblLayout w:type="fixed"/>
        <w:tblCellMar>
          <w:top w:w="0" w:type="dxa"/>
          <w:left w:w="108" w:type="dxa"/>
          <w:bottom w:w="0" w:type="dxa"/>
          <w:right w:w="108" w:type="dxa"/>
        </w:tblCellMar>
      </w:tblPr>
      <w:tblGrid>
        <w:gridCol w:w="914"/>
        <w:gridCol w:w="2816"/>
        <w:gridCol w:w="2260"/>
        <w:gridCol w:w="2060"/>
        <w:gridCol w:w="1780"/>
      </w:tblGrid>
      <w:tr>
        <w:tblPrEx>
          <w:tblLayout w:type="fixed"/>
          <w:tblCellMar>
            <w:top w:w="0" w:type="dxa"/>
            <w:left w:w="108" w:type="dxa"/>
            <w:bottom w:w="0" w:type="dxa"/>
            <w:right w:w="108" w:type="dxa"/>
          </w:tblCellMar>
        </w:tblPrEx>
        <w:trPr>
          <w:trHeight w:val="285" w:hRule="atLeast"/>
          <w:jc w:val="center"/>
        </w:trPr>
        <w:tc>
          <w:tcPr>
            <w:tcW w:w="914" w:type="dxa"/>
            <w:tcBorders>
              <w:top w:val="single" w:color="auto" w:sz="8" w:space="0"/>
              <w:left w:val="single" w:color="auto" w:sz="8" w:space="0"/>
              <w:bottom w:val="single" w:color="auto" w:sz="4" w:space="0"/>
              <w:right w:val="single" w:color="auto" w:sz="8"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类别</w:t>
            </w:r>
          </w:p>
        </w:tc>
        <w:tc>
          <w:tcPr>
            <w:tcW w:w="2816" w:type="dxa"/>
            <w:tcBorders>
              <w:top w:val="single" w:color="auto" w:sz="8" w:space="0"/>
              <w:left w:val="nil"/>
              <w:bottom w:val="single" w:color="auto" w:sz="4" w:space="0"/>
              <w:right w:val="single" w:color="auto" w:sz="8"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产品名称</w:t>
            </w:r>
          </w:p>
        </w:tc>
        <w:tc>
          <w:tcPr>
            <w:tcW w:w="2260" w:type="dxa"/>
            <w:tcBorders>
              <w:top w:val="single" w:color="auto" w:sz="8" w:space="0"/>
              <w:left w:val="nil"/>
              <w:bottom w:val="single" w:color="auto" w:sz="4" w:space="0"/>
              <w:right w:val="single" w:color="auto" w:sz="8"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品牌</w:t>
            </w:r>
          </w:p>
        </w:tc>
        <w:tc>
          <w:tcPr>
            <w:tcW w:w="2060" w:type="dxa"/>
            <w:tcBorders>
              <w:top w:val="single" w:color="auto" w:sz="8" w:space="0"/>
              <w:left w:val="nil"/>
              <w:bottom w:val="single" w:color="auto" w:sz="4" w:space="0"/>
              <w:right w:val="single" w:color="auto" w:sz="8"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型号</w:t>
            </w:r>
          </w:p>
        </w:tc>
        <w:tc>
          <w:tcPr>
            <w:tcW w:w="1780" w:type="dxa"/>
            <w:tcBorders>
              <w:top w:val="single" w:color="auto" w:sz="8" w:space="0"/>
              <w:left w:val="nil"/>
              <w:bottom w:val="single" w:color="auto" w:sz="4" w:space="0"/>
              <w:right w:val="single" w:color="auto" w:sz="8"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单价（元/台）</w:t>
            </w:r>
          </w:p>
        </w:tc>
      </w:tr>
      <w:tr>
        <w:tblPrEx>
          <w:tblLayout w:type="fixed"/>
          <w:tblCellMar>
            <w:top w:w="0" w:type="dxa"/>
            <w:left w:w="108" w:type="dxa"/>
            <w:bottom w:w="0" w:type="dxa"/>
            <w:right w:w="108" w:type="dxa"/>
          </w:tblCellMar>
        </w:tblPrEx>
        <w:trPr>
          <w:trHeight w:val="156" w:hRule="atLeast"/>
          <w:jc w:val="center"/>
        </w:trPr>
        <w:tc>
          <w:tcPr>
            <w:tcW w:w="91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kern w:val="0"/>
                <w:szCs w:val="21"/>
                <w:highlight w:val="yellow"/>
              </w:rPr>
            </w:pPr>
            <w:r>
              <w:rPr>
                <w:rFonts w:ascii="宋体" w:hAnsi="宋体" w:cs="宋体"/>
                <w:color w:val="000000"/>
                <w:kern w:val="0"/>
                <w:szCs w:val="21"/>
              </w:rPr>
              <w:t>1</w:t>
            </w:r>
          </w:p>
        </w:tc>
        <w:tc>
          <w:tcPr>
            <w:tcW w:w="2816" w:type="dxa"/>
            <w:vMerge w:val="restart"/>
            <w:tcBorders>
              <w:top w:val="single" w:color="auto" w:sz="4" w:space="0"/>
              <w:left w:val="single" w:color="auto" w:sz="4" w:space="0"/>
              <w:right w:val="single" w:color="auto" w:sz="4" w:space="0"/>
            </w:tcBorders>
            <w:vAlign w:val="center"/>
          </w:tcPr>
          <w:p>
            <w:pPr>
              <w:jc w:val="center"/>
              <w:rPr>
                <w:rFonts w:ascii="宋体" w:hAnsi="宋体" w:cs="宋体"/>
                <w:color w:val="000000"/>
                <w:kern w:val="0"/>
                <w:sz w:val="20"/>
                <w:szCs w:val="20"/>
                <w:highlight w:val="yellow"/>
              </w:rPr>
            </w:pPr>
            <w:r>
              <w:rPr>
                <w:rFonts w:hint="eastAsia" w:ascii="宋体" w:hAnsi="宋体" w:cs="宋体"/>
                <w:color w:val="000000"/>
                <w:kern w:val="0"/>
                <w:sz w:val="20"/>
                <w:szCs w:val="20"/>
              </w:rPr>
              <w:t>UPS</w:t>
            </w:r>
          </w:p>
        </w:tc>
        <w:tc>
          <w:tcPr>
            <w:tcW w:w="2260" w:type="dxa"/>
            <w:vMerge w:val="restart"/>
            <w:tcBorders>
              <w:top w:val="single" w:color="auto" w:sz="4" w:space="0"/>
              <w:left w:val="single" w:color="auto" w:sz="4" w:space="0"/>
              <w:right w:val="single" w:color="auto" w:sz="4" w:space="0"/>
            </w:tcBorders>
            <w:vAlign w:val="center"/>
          </w:tcPr>
          <w:p>
            <w:pPr>
              <w:jc w:val="center"/>
              <w:rPr>
                <w:rFonts w:ascii="宋体" w:hAnsi="宋体" w:cs="宋体"/>
                <w:b/>
                <w:bCs/>
                <w:color w:val="000000"/>
                <w:kern w:val="0"/>
                <w:szCs w:val="21"/>
              </w:rPr>
            </w:pPr>
            <w:r>
              <w:rPr>
                <w:rFonts w:hint="eastAsia" w:ascii="宋体" w:hAnsi="宋体" w:cs="宋体"/>
                <w:b/>
                <w:bCs/>
                <w:color w:val="000000"/>
                <w:kern w:val="0"/>
                <w:szCs w:val="21"/>
              </w:rPr>
              <w:t>山特</w:t>
            </w: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1KVA</w:t>
            </w:r>
          </w:p>
        </w:tc>
        <w:tc>
          <w:tcPr>
            <w:tcW w:w="17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highlight w:val="yellow"/>
              </w:rPr>
            </w:pPr>
          </w:p>
        </w:tc>
      </w:tr>
      <w:tr>
        <w:tblPrEx>
          <w:tblLayout w:type="fixed"/>
          <w:tblCellMar>
            <w:top w:w="0" w:type="dxa"/>
            <w:left w:w="108" w:type="dxa"/>
            <w:bottom w:w="0" w:type="dxa"/>
            <w:right w:w="108" w:type="dxa"/>
          </w:tblCellMar>
        </w:tblPrEx>
        <w:trPr>
          <w:trHeight w:val="156" w:hRule="atLeast"/>
          <w:jc w:val="center"/>
        </w:trPr>
        <w:tc>
          <w:tcPr>
            <w:tcW w:w="914" w:type="dxa"/>
            <w:vMerge w:val="continue"/>
            <w:tcBorders>
              <w:left w:val="single" w:color="auto" w:sz="4" w:space="0"/>
              <w:right w:val="single" w:color="auto" w:sz="4" w:space="0"/>
            </w:tcBorders>
            <w:vAlign w:val="center"/>
          </w:tcPr>
          <w:p>
            <w:pPr>
              <w:widowControl/>
              <w:jc w:val="center"/>
            </w:pPr>
          </w:p>
        </w:tc>
        <w:tc>
          <w:tcPr>
            <w:tcW w:w="2816" w:type="dxa"/>
            <w:vMerge w:val="continue"/>
            <w:tcBorders>
              <w:left w:val="single" w:color="auto" w:sz="4" w:space="0"/>
              <w:right w:val="single" w:color="auto" w:sz="4" w:space="0"/>
            </w:tcBorders>
            <w:vAlign w:val="center"/>
          </w:tcPr>
          <w:p>
            <w:pPr>
              <w:widowControl/>
              <w:jc w:val="center"/>
            </w:pPr>
          </w:p>
        </w:tc>
        <w:tc>
          <w:tcPr>
            <w:tcW w:w="2260" w:type="dxa"/>
            <w:vMerge w:val="continue"/>
            <w:tcBorders>
              <w:left w:val="single" w:color="auto" w:sz="4" w:space="0"/>
              <w:right w:val="single" w:color="auto" w:sz="4" w:space="0"/>
            </w:tcBorders>
            <w:vAlign w:val="center"/>
          </w:tcPr>
          <w:p>
            <w:pPr>
              <w:widowControl/>
              <w:jc w:val="center"/>
            </w:pP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lang w:val="en-US" w:eastAsia="zh-CN"/>
              </w:rPr>
              <w:t>3</w:t>
            </w:r>
            <w:r>
              <w:rPr>
                <w:rFonts w:hint="eastAsia" w:ascii="宋体" w:hAnsi="宋体" w:cs="宋体"/>
                <w:b/>
                <w:bCs/>
                <w:color w:val="000000"/>
                <w:kern w:val="0"/>
                <w:szCs w:val="21"/>
              </w:rPr>
              <w:t>KVA</w:t>
            </w:r>
          </w:p>
        </w:tc>
        <w:tc>
          <w:tcPr>
            <w:tcW w:w="17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Cs w:val="21"/>
              </w:rPr>
            </w:pPr>
          </w:p>
        </w:tc>
      </w:tr>
      <w:tr>
        <w:tblPrEx>
          <w:tblLayout w:type="fixed"/>
          <w:tblCellMar>
            <w:top w:w="0" w:type="dxa"/>
            <w:left w:w="108" w:type="dxa"/>
            <w:bottom w:w="0" w:type="dxa"/>
            <w:right w:w="108" w:type="dxa"/>
          </w:tblCellMar>
        </w:tblPrEx>
        <w:trPr>
          <w:trHeight w:val="157" w:hRule="atLeast"/>
          <w:jc w:val="center"/>
        </w:trPr>
        <w:tc>
          <w:tcPr>
            <w:tcW w:w="914"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Cs w:val="21"/>
              </w:rPr>
            </w:pPr>
          </w:p>
        </w:tc>
        <w:tc>
          <w:tcPr>
            <w:tcW w:w="2816" w:type="dxa"/>
            <w:vMerge w:val="continue"/>
            <w:tcBorders>
              <w:left w:val="single" w:color="auto" w:sz="4" w:space="0"/>
              <w:right w:val="single" w:color="auto" w:sz="4" w:space="0"/>
            </w:tcBorders>
            <w:vAlign w:val="center"/>
          </w:tcPr>
          <w:p>
            <w:pPr>
              <w:jc w:val="center"/>
              <w:rPr>
                <w:rFonts w:ascii="宋体" w:hAnsi="宋体" w:cs="宋体"/>
                <w:color w:val="000000"/>
                <w:kern w:val="0"/>
                <w:sz w:val="20"/>
                <w:szCs w:val="20"/>
              </w:rPr>
            </w:pPr>
          </w:p>
        </w:tc>
        <w:tc>
          <w:tcPr>
            <w:tcW w:w="2260" w:type="dxa"/>
            <w:vMerge w:val="continue"/>
            <w:tcBorders>
              <w:left w:val="single" w:color="auto" w:sz="4" w:space="0"/>
              <w:right w:val="single" w:color="auto" w:sz="4" w:space="0"/>
            </w:tcBorders>
            <w:vAlign w:val="center"/>
          </w:tcPr>
          <w:p>
            <w:pPr>
              <w:jc w:val="center"/>
              <w:rPr>
                <w:rFonts w:ascii="宋体" w:hAnsi="宋体" w:cs="宋体"/>
                <w:b/>
                <w:bCs/>
                <w:color w:val="000000"/>
                <w:kern w:val="0"/>
                <w:szCs w:val="21"/>
              </w:rPr>
            </w:pP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6KVA</w:t>
            </w:r>
          </w:p>
        </w:tc>
        <w:tc>
          <w:tcPr>
            <w:tcW w:w="17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highlight w:val="yellow"/>
              </w:rPr>
            </w:pPr>
          </w:p>
        </w:tc>
      </w:tr>
      <w:tr>
        <w:tblPrEx>
          <w:tblLayout w:type="fixed"/>
          <w:tblCellMar>
            <w:top w:w="0" w:type="dxa"/>
            <w:left w:w="108" w:type="dxa"/>
            <w:bottom w:w="0" w:type="dxa"/>
            <w:right w:w="108" w:type="dxa"/>
          </w:tblCellMar>
        </w:tblPrEx>
        <w:trPr>
          <w:trHeight w:val="285" w:hRule="atLeast"/>
          <w:jc w:val="center"/>
        </w:trPr>
        <w:tc>
          <w:tcPr>
            <w:tcW w:w="914" w:type="dxa"/>
            <w:vMerge w:val="continue"/>
            <w:tcBorders>
              <w:left w:val="single" w:color="auto" w:sz="4" w:space="0"/>
              <w:right w:val="single" w:color="auto" w:sz="4" w:space="0"/>
            </w:tcBorders>
            <w:vAlign w:val="center"/>
          </w:tcPr>
          <w:p>
            <w:pPr>
              <w:widowControl/>
              <w:jc w:val="left"/>
              <w:rPr>
                <w:rFonts w:ascii="宋体" w:hAnsi="宋体" w:cs="宋体"/>
                <w:color w:val="000000"/>
                <w:kern w:val="0"/>
                <w:szCs w:val="21"/>
                <w:highlight w:val="yellow"/>
              </w:rPr>
            </w:pPr>
          </w:p>
        </w:tc>
        <w:tc>
          <w:tcPr>
            <w:tcW w:w="2816" w:type="dxa"/>
            <w:vMerge w:val="continue"/>
            <w:tcBorders>
              <w:left w:val="single" w:color="auto" w:sz="4" w:space="0"/>
              <w:right w:val="single" w:color="auto" w:sz="4" w:space="0"/>
            </w:tcBorders>
            <w:vAlign w:val="center"/>
          </w:tcPr>
          <w:p>
            <w:pPr>
              <w:widowControl/>
              <w:jc w:val="left"/>
              <w:rPr>
                <w:rFonts w:ascii="宋体" w:hAnsi="宋体"/>
                <w:color w:val="000000"/>
                <w:kern w:val="0"/>
                <w:szCs w:val="21"/>
                <w:highlight w:val="yellow"/>
              </w:rPr>
            </w:pPr>
          </w:p>
        </w:tc>
        <w:tc>
          <w:tcPr>
            <w:tcW w:w="2260" w:type="dxa"/>
            <w:vMerge w:val="continue"/>
            <w:tcBorders>
              <w:left w:val="single" w:color="auto" w:sz="4" w:space="0"/>
              <w:right w:val="single" w:color="auto" w:sz="4" w:space="0"/>
            </w:tcBorders>
            <w:vAlign w:val="center"/>
          </w:tcPr>
          <w:p>
            <w:pPr>
              <w:jc w:val="center"/>
              <w:rPr>
                <w:rFonts w:ascii="宋体" w:hAnsi="宋体" w:cs="宋体"/>
                <w:b/>
                <w:bCs/>
                <w:color w:val="000000"/>
                <w:kern w:val="0"/>
                <w:szCs w:val="21"/>
              </w:rPr>
            </w:pP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10KVA</w:t>
            </w:r>
          </w:p>
        </w:tc>
        <w:tc>
          <w:tcPr>
            <w:tcW w:w="17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highlight w:val="yellow"/>
              </w:rPr>
            </w:pPr>
          </w:p>
        </w:tc>
      </w:tr>
      <w:tr>
        <w:tblPrEx>
          <w:tblLayout w:type="fixed"/>
          <w:tblCellMar>
            <w:top w:w="0" w:type="dxa"/>
            <w:left w:w="108" w:type="dxa"/>
            <w:bottom w:w="0" w:type="dxa"/>
            <w:right w:w="108" w:type="dxa"/>
          </w:tblCellMar>
        </w:tblPrEx>
        <w:trPr>
          <w:trHeight w:val="291" w:hRule="atLeast"/>
          <w:jc w:val="center"/>
        </w:trPr>
        <w:tc>
          <w:tcPr>
            <w:tcW w:w="914" w:type="dxa"/>
            <w:vMerge w:val="continue"/>
            <w:tcBorders>
              <w:left w:val="single" w:color="auto" w:sz="4" w:space="0"/>
              <w:right w:val="single" w:color="auto" w:sz="4" w:space="0"/>
            </w:tcBorders>
            <w:vAlign w:val="center"/>
          </w:tcPr>
          <w:p>
            <w:pPr>
              <w:widowControl/>
              <w:jc w:val="left"/>
              <w:rPr>
                <w:rFonts w:ascii="宋体" w:hAnsi="宋体" w:cs="宋体"/>
                <w:color w:val="000000"/>
                <w:kern w:val="0"/>
                <w:szCs w:val="21"/>
                <w:highlight w:val="yellow"/>
              </w:rPr>
            </w:pPr>
          </w:p>
        </w:tc>
        <w:tc>
          <w:tcPr>
            <w:tcW w:w="2816" w:type="dxa"/>
            <w:vMerge w:val="continue"/>
            <w:tcBorders>
              <w:left w:val="single" w:color="auto" w:sz="4" w:space="0"/>
              <w:right w:val="single" w:color="auto" w:sz="4" w:space="0"/>
            </w:tcBorders>
            <w:vAlign w:val="center"/>
          </w:tcPr>
          <w:p>
            <w:pPr>
              <w:widowControl/>
              <w:jc w:val="left"/>
              <w:rPr>
                <w:rFonts w:ascii="宋体" w:hAnsi="宋体"/>
                <w:color w:val="000000"/>
                <w:kern w:val="0"/>
                <w:szCs w:val="21"/>
                <w:highlight w:val="yellow"/>
              </w:rPr>
            </w:pPr>
          </w:p>
        </w:tc>
        <w:tc>
          <w:tcPr>
            <w:tcW w:w="2260"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20KVA</w:t>
            </w:r>
          </w:p>
        </w:tc>
        <w:tc>
          <w:tcPr>
            <w:tcW w:w="17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highlight w:val="yellow"/>
              </w:rPr>
            </w:pPr>
          </w:p>
        </w:tc>
      </w:tr>
      <w:tr>
        <w:tblPrEx>
          <w:tblLayout w:type="fixed"/>
          <w:tblCellMar>
            <w:top w:w="0" w:type="dxa"/>
            <w:left w:w="108" w:type="dxa"/>
            <w:bottom w:w="0" w:type="dxa"/>
            <w:right w:w="108" w:type="dxa"/>
          </w:tblCellMar>
        </w:tblPrEx>
        <w:trPr>
          <w:trHeight w:val="161" w:hRule="atLeast"/>
          <w:jc w:val="center"/>
        </w:trPr>
        <w:tc>
          <w:tcPr>
            <w:tcW w:w="914" w:type="dxa"/>
            <w:vMerge w:val="continue"/>
            <w:tcBorders>
              <w:left w:val="single" w:color="auto" w:sz="4" w:space="0"/>
              <w:right w:val="single" w:color="auto" w:sz="4" w:space="0"/>
            </w:tcBorders>
            <w:vAlign w:val="center"/>
          </w:tcPr>
          <w:p>
            <w:pPr>
              <w:widowControl/>
              <w:jc w:val="left"/>
              <w:rPr>
                <w:rFonts w:ascii="宋体" w:hAnsi="宋体" w:cs="宋体"/>
                <w:color w:val="000000"/>
                <w:kern w:val="0"/>
                <w:szCs w:val="21"/>
                <w:highlight w:val="yellow"/>
              </w:rPr>
            </w:pPr>
          </w:p>
        </w:tc>
        <w:tc>
          <w:tcPr>
            <w:tcW w:w="2816" w:type="dxa"/>
            <w:vMerge w:val="continue"/>
            <w:tcBorders>
              <w:left w:val="single" w:color="auto" w:sz="4" w:space="0"/>
              <w:right w:val="single" w:color="auto" w:sz="4" w:space="0"/>
            </w:tcBorders>
            <w:vAlign w:val="center"/>
          </w:tcPr>
          <w:p>
            <w:pPr>
              <w:widowControl/>
              <w:jc w:val="left"/>
              <w:rPr>
                <w:rFonts w:ascii="宋体" w:hAnsi="宋体"/>
                <w:color w:val="000000"/>
                <w:kern w:val="0"/>
                <w:szCs w:val="21"/>
                <w:highlight w:val="yellow"/>
              </w:rPr>
            </w:pPr>
          </w:p>
        </w:tc>
        <w:tc>
          <w:tcPr>
            <w:tcW w:w="226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爱普瑞斯</w:t>
            </w: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1KVA</w:t>
            </w:r>
          </w:p>
        </w:tc>
        <w:tc>
          <w:tcPr>
            <w:tcW w:w="17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161" w:hRule="atLeast"/>
          <w:jc w:val="center"/>
        </w:trPr>
        <w:tc>
          <w:tcPr>
            <w:tcW w:w="914" w:type="dxa"/>
            <w:vMerge w:val="continue"/>
            <w:tcBorders>
              <w:left w:val="single" w:color="auto" w:sz="4" w:space="0"/>
              <w:right w:val="single" w:color="auto" w:sz="4" w:space="0"/>
            </w:tcBorders>
            <w:vAlign w:val="center"/>
          </w:tcPr>
          <w:p>
            <w:pPr>
              <w:widowControl/>
              <w:jc w:val="center"/>
            </w:pPr>
          </w:p>
        </w:tc>
        <w:tc>
          <w:tcPr>
            <w:tcW w:w="2816" w:type="dxa"/>
            <w:vMerge w:val="continue"/>
            <w:tcBorders>
              <w:left w:val="single" w:color="auto" w:sz="4" w:space="0"/>
              <w:right w:val="single" w:color="auto" w:sz="4" w:space="0"/>
            </w:tcBorders>
            <w:vAlign w:val="center"/>
          </w:tcPr>
          <w:p>
            <w:pPr>
              <w:widowControl/>
              <w:jc w:val="center"/>
            </w:pPr>
          </w:p>
        </w:tc>
        <w:tc>
          <w:tcPr>
            <w:tcW w:w="2260" w:type="dxa"/>
            <w:vMerge w:val="continue"/>
            <w:tcBorders>
              <w:left w:val="single" w:color="auto" w:sz="4" w:space="0"/>
              <w:right w:val="single" w:color="auto" w:sz="4" w:space="0"/>
            </w:tcBorders>
            <w:vAlign w:val="center"/>
          </w:tcPr>
          <w:p>
            <w:pPr>
              <w:widowControl/>
              <w:jc w:val="center"/>
            </w:pP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lang w:val="en-US" w:eastAsia="zh-CN"/>
              </w:rPr>
              <w:t>3</w:t>
            </w:r>
            <w:r>
              <w:rPr>
                <w:rFonts w:hint="eastAsia" w:ascii="宋体" w:hAnsi="宋体" w:cs="宋体"/>
                <w:b/>
                <w:bCs/>
                <w:color w:val="000000"/>
                <w:kern w:val="0"/>
                <w:szCs w:val="21"/>
              </w:rPr>
              <w:t>KVA</w:t>
            </w:r>
          </w:p>
        </w:tc>
        <w:tc>
          <w:tcPr>
            <w:tcW w:w="17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Cs w:val="21"/>
              </w:rPr>
            </w:pPr>
          </w:p>
        </w:tc>
      </w:tr>
      <w:tr>
        <w:tblPrEx>
          <w:tblLayout w:type="fixed"/>
          <w:tblCellMar>
            <w:top w:w="0" w:type="dxa"/>
            <w:left w:w="108" w:type="dxa"/>
            <w:bottom w:w="0" w:type="dxa"/>
            <w:right w:w="108" w:type="dxa"/>
          </w:tblCellMar>
        </w:tblPrEx>
        <w:trPr>
          <w:trHeight w:val="157" w:hRule="atLeast"/>
          <w:jc w:val="center"/>
        </w:trPr>
        <w:tc>
          <w:tcPr>
            <w:tcW w:w="914" w:type="dxa"/>
            <w:vMerge w:val="continue"/>
            <w:tcBorders>
              <w:left w:val="single" w:color="auto" w:sz="4" w:space="0"/>
              <w:right w:val="single" w:color="auto" w:sz="4" w:space="0"/>
            </w:tcBorders>
            <w:vAlign w:val="center"/>
          </w:tcPr>
          <w:p>
            <w:pPr>
              <w:widowControl/>
              <w:jc w:val="left"/>
              <w:rPr>
                <w:rFonts w:ascii="宋体" w:hAnsi="宋体" w:cs="宋体"/>
                <w:color w:val="000000"/>
                <w:kern w:val="0"/>
                <w:szCs w:val="21"/>
                <w:highlight w:val="yellow"/>
              </w:rPr>
            </w:pPr>
          </w:p>
        </w:tc>
        <w:tc>
          <w:tcPr>
            <w:tcW w:w="2816" w:type="dxa"/>
            <w:vMerge w:val="continue"/>
            <w:tcBorders>
              <w:left w:val="single" w:color="auto" w:sz="4" w:space="0"/>
              <w:right w:val="single" w:color="auto" w:sz="4" w:space="0"/>
            </w:tcBorders>
            <w:vAlign w:val="center"/>
          </w:tcPr>
          <w:p>
            <w:pPr>
              <w:widowControl/>
              <w:jc w:val="left"/>
              <w:rPr>
                <w:rFonts w:ascii="宋体" w:hAnsi="宋体"/>
                <w:color w:val="000000"/>
                <w:kern w:val="0"/>
                <w:szCs w:val="21"/>
                <w:highlight w:val="yellow"/>
              </w:rPr>
            </w:pPr>
          </w:p>
        </w:tc>
        <w:tc>
          <w:tcPr>
            <w:tcW w:w="2260" w:type="dxa"/>
            <w:vMerge w:val="continue"/>
            <w:tcBorders>
              <w:left w:val="single" w:color="auto" w:sz="4" w:space="0"/>
              <w:right w:val="single" w:color="auto" w:sz="4" w:space="0"/>
            </w:tcBorders>
            <w:vAlign w:val="center"/>
          </w:tcPr>
          <w:p>
            <w:pPr>
              <w:widowControl/>
              <w:jc w:val="center"/>
              <w:rPr>
                <w:rFonts w:ascii="宋体" w:hAnsi="宋体" w:cs="宋体"/>
                <w:b/>
                <w:bCs/>
                <w:color w:val="000000"/>
                <w:kern w:val="0"/>
                <w:szCs w:val="21"/>
              </w:rPr>
            </w:pP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6KVA</w:t>
            </w:r>
          </w:p>
        </w:tc>
        <w:tc>
          <w:tcPr>
            <w:tcW w:w="17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285" w:hRule="atLeast"/>
          <w:jc w:val="center"/>
        </w:trPr>
        <w:tc>
          <w:tcPr>
            <w:tcW w:w="914" w:type="dxa"/>
            <w:vMerge w:val="continue"/>
            <w:tcBorders>
              <w:left w:val="single" w:color="auto" w:sz="4" w:space="0"/>
              <w:right w:val="single" w:color="auto" w:sz="4" w:space="0"/>
            </w:tcBorders>
            <w:vAlign w:val="center"/>
          </w:tcPr>
          <w:p>
            <w:pPr>
              <w:widowControl/>
              <w:jc w:val="left"/>
              <w:rPr>
                <w:rFonts w:ascii="宋体" w:hAnsi="宋体" w:cs="宋体"/>
                <w:color w:val="000000"/>
                <w:kern w:val="0"/>
                <w:szCs w:val="21"/>
                <w:highlight w:val="yellow"/>
              </w:rPr>
            </w:pPr>
          </w:p>
        </w:tc>
        <w:tc>
          <w:tcPr>
            <w:tcW w:w="2816" w:type="dxa"/>
            <w:vMerge w:val="continue"/>
            <w:tcBorders>
              <w:left w:val="single" w:color="auto" w:sz="4" w:space="0"/>
              <w:right w:val="single" w:color="auto" w:sz="4" w:space="0"/>
            </w:tcBorders>
            <w:vAlign w:val="center"/>
          </w:tcPr>
          <w:p>
            <w:pPr>
              <w:widowControl/>
              <w:jc w:val="left"/>
              <w:rPr>
                <w:rFonts w:ascii="宋体" w:hAnsi="宋体"/>
                <w:color w:val="000000"/>
                <w:kern w:val="0"/>
                <w:szCs w:val="21"/>
                <w:highlight w:val="yellow"/>
              </w:rPr>
            </w:pPr>
          </w:p>
        </w:tc>
        <w:tc>
          <w:tcPr>
            <w:tcW w:w="2260" w:type="dxa"/>
            <w:vMerge w:val="continue"/>
            <w:tcBorders>
              <w:left w:val="single" w:color="auto" w:sz="4" w:space="0"/>
              <w:right w:val="single" w:color="auto" w:sz="4" w:space="0"/>
            </w:tcBorders>
            <w:vAlign w:val="center"/>
          </w:tcPr>
          <w:p>
            <w:pPr>
              <w:jc w:val="center"/>
              <w:rPr>
                <w:rFonts w:ascii="宋体" w:hAnsi="宋体" w:cs="宋体"/>
                <w:b/>
                <w:bCs/>
                <w:color w:val="000000"/>
                <w:kern w:val="0"/>
                <w:szCs w:val="21"/>
              </w:rPr>
            </w:pP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10KVA</w:t>
            </w:r>
          </w:p>
        </w:tc>
        <w:tc>
          <w:tcPr>
            <w:tcW w:w="17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p>
        </w:tc>
      </w:tr>
      <w:tr>
        <w:tblPrEx>
          <w:tblLayout w:type="fixed"/>
          <w:tblCellMar>
            <w:top w:w="0" w:type="dxa"/>
            <w:left w:w="108" w:type="dxa"/>
            <w:bottom w:w="0" w:type="dxa"/>
            <w:right w:w="108" w:type="dxa"/>
          </w:tblCellMar>
        </w:tblPrEx>
        <w:trPr>
          <w:trHeight w:val="285" w:hRule="atLeast"/>
          <w:jc w:val="center"/>
        </w:trPr>
        <w:tc>
          <w:tcPr>
            <w:tcW w:w="914" w:type="dxa"/>
            <w:vMerge w:val="continue"/>
            <w:tcBorders>
              <w:left w:val="single" w:color="auto" w:sz="4" w:space="0"/>
              <w:right w:val="single" w:color="auto" w:sz="4" w:space="0"/>
            </w:tcBorders>
            <w:vAlign w:val="center"/>
          </w:tcPr>
          <w:p>
            <w:pPr>
              <w:widowControl/>
              <w:jc w:val="left"/>
              <w:rPr>
                <w:rFonts w:ascii="宋体" w:hAnsi="宋体" w:cs="宋体"/>
                <w:color w:val="000000"/>
                <w:kern w:val="0"/>
                <w:szCs w:val="21"/>
                <w:highlight w:val="yellow"/>
              </w:rPr>
            </w:pPr>
          </w:p>
        </w:tc>
        <w:tc>
          <w:tcPr>
            <w:tcW w:w="2816" w:type="dxa"/>
            <w:vMerge w:val="continue"/>
            <w:tcBorders>
              <w:left w:val="single" w:color="auto" w:sz="4" w:space="0"/>
              <w:right w:val="single" w:color="auto" w:sz="4" w:space="0"/>
            </w:tcBorders>
            <w:vAlign w:val="center"/>
          </w:tcPr>
          <w:p>
            <w:pPr>
              <w:widowControl/>
              <w:jc w:val="left"/>
              <w:rPr>
                <w:rFonts w:ascii="宋体" w:hAnsi="宋体"/>
                <w:color w:val="000000"/>
                <w:kern w:val="0"/>
                <w:szCs w:val="21"/>
                <w:highlight w:val="yellow"/>
              </w:rPr>
            </w:pPr>
          </w:p>
        </w:tc>
        <w:tc>
          <w:tcPr>
            <w:tcW w:w="2260"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20KVA</w:t>
            </w:r>
          </w:p>
        </w:tc>
        <w:tc>
          <w:tcPr>
            <w:tcW w:w="17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0"/>
                <w:szCs w:val="20"/>
              </w:rPr>
            </w:pPr>
          </w:p>
        </w:tc>
      </w:tr>
      <w:tr>
        <w:tblPrEx>
          <w:tblLayout w:type="fixed"/>
          <w:tblCellMar>
            <w:top w:w="0" w:type="dxa"/>
            <w:left w:w="108" w:type="dxa"/>
            <w:bottom w:w="0" w:type="dxa"/>
            <w:right w:w="108" w:type="dxa"/>
          </w:tblCellMar>
        </w:tblPrEx>
        <w:trPr>
          <w:trHeight w:val="161" w:hRule="atLeast"/>
          <w:jc w:val="center"/>
        </w:trPr>
        <w:tc>
          <w:tcPr>
            <w:tcW w:w="914" w:type="dxa"/>
            <w:vMerge w:val="continue"/>
            <w:tcBorders>
              <w:left w:val="single" w:color="auto" w:sz="4" w:space="0"/>
              <w:right w:val="single" w:color="auto" w:sz="4" w:space="0"/>
            </w:tcBorders>
            <w:vAlign w:val="center"/>
          </w:tcPr>
          <w:p>
            <w:pPr>
              <w:widowControl/>
              <w:jc w:val="left"/>
              <w:rPr>
                <w:rFonts w:ascii="宋体" w:hAnsi="宋体" w:cs="宋体"/>
                <w:color w:val="000000"/>
                <w:kern w:val="0"/>
                <w:szCs w:val="21"/>
                <w:highlight w:val="yellow"/>
              </w:rPr>
            </w:pPr>
          </w:p>
        </w:tc>
        <w:tc>
          <w:tcPr>
            <w:tcW w:w="2816" w:type="dxa"/>
            <w:vMerge w:val="continue"/>
            <w:tcBorders>
              <w:left w:val="single" w:color="auto" w:sz="4" w:space="0"/>
              <w:right w:val="single" w:color="auto" w:sz="4" w:space="0"/>
            </w:tcBorders>
            <w:vAlign w:val="center"/>
          </w:tcPr>
          <w:p>
            <w:pPr>
              <w:widowControl/>
              <w:jc w:val="left"/>
              <w:rPr>
                <w:rFonts w:ascii="宋体" w:hAnsi="宋体"/>
                <w:color w:val="000000"/>
                <w:kern w:val="0"/>
                <w:szCs w:val="21"/>
                <w:highlight w:val="yellow"/>
              </w:rPr>
            </w:pPr>
          </w:p>
        </w:tc>
        <w:tc>
          <w:tcPr>
            <w:tcW w:w="226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科华</w:t>
            </w: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1KVA</w:t>
            </w:r>
          </w:p>
        </w:tc>
        <w:tc>
          <w:tcPr>
            <w:tcW w:w="17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0"/>
                <w:szCs w:val="20"/>
              </w:rPr>
            </w:pPr>
          </w:p>
        </w:tc>
      </w:tr>
      <w:tr>
        <w:tblPrEx>
          <w:tblLayout w:type="fixed"/>
          <w:tblCellMar>
            <w:top w:w="0" w:type="dxa"/>
            <w:left w:w="108" w:type="dxa"/>
            <w:bottom w:w="0" w:type="dxa"/>
            <w:right w:w="108" w:type="dxa"/>
          </w:tblCellMar>
        </w:tblPrEx>
        <w:trPr>
          <w:trHeight w:val="161" w:hRule="atLeast"/>
          <w:jc w:val="center"/>
        </w:trPr>
        <w:tc>
          <w:tcPr>
            <w:tcW w:w="914" w:type="dxa"/>
            <w:vMerge w:val="continue"/>
            <w:tcBorders>
              <w:left w:val="single" w:color="auto" w:sz="4" w:space="0"/>
              <w:right w:val="single" w:color="auto" w:sz="4" w:space="0"/>
            </w:tcBorders>
            <w:vAlign w:val="center"/>
          </w:tcPr>
          <w:p>
            <w:pPr>
              <w:widowControl/>
              <w:jc w:val="center"/>
            </w:pPr>
          </w:p>
        </w:tc>
        <w:tc>
          <w:tcPr>
            <w:tcW w:w="2816" w:type="dxa"/>
            <w:vMerge w:val="continue"/>
            <w:tcBorders>
              <w:left w:val="single" w:color="auto" w:sz="4" w:space="0"/>
              <w:right w:val="single" w:color="auto" w:sz="4" w:space="0"/>
            </w:tcBorders>
            <w:vAlign w:val="center"/>
          </w:tcPr>
          <w:p>
            <w:pPr>
              <w:widowControl/>
              <w:jc w:val="center"/>
            </w:pPr>
          </w:p>
        </w:tc>
        <w:tc>
          <w:tcPr>
            <w:tcW w:w="2260" w:type="dxa"/>
            <w:vMerge w:val="continue"/>
            <w:tcBorders>
              <w:left w:val="single" w:color="auto" w:sz="4" w:space="0"/>
              <w:right w:val="single" w:color="auto" w:sz="4" w:space="0"/>
            </w:tcBorders>
            <w:vAlign w:val="center"/>
          </w:tcPr>
          <w:p>
            <w:pPr>
              <w:widowControl/>
              <w:jc w:val="center"/>
            </w:pP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lang w:val="en-US" w:eastAsia="zh-CN"/>
              </w:rPr>
              <w:t>3</w:t>
            </w:r>
            <w:r>
              <w:rPr>
                <w:rFonts w:hint="eastAsia" w:ascii="宋体" w:hAnsi="宋体" w:cs="宋体"/>
                <w:b/>
                <w:bCs/>
                <w:color w:val="000000"/>
                <w:kern w:val="0"/>
                <w:szCs w:val="21"/>
              </w:rPr>
              <w:t>KVA</w:t>
            </w:r>
          </w:p>
        </w:tc>
        <w:tc>
          <w:tcPr>
            <w:tcW w:w="17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bCs/>
                <w:color w:val="000000"/>
                <w:kern w:val="0"/>
                <w:szCs w:val="21"/>
              </w:rPr>
            </w:pPr>
          </w:p>
        </w:tc>
      </w:tr>
      <w:tr>
        <w:tblPrEx>
          <w:tblLayout w:type="fixed"/>
          <w:tblCellMar>
            <w:top w:w="0" w:type="dxa"/>
            <w:left w:w="108" w:type="dxa"/>
            <w:bottom w:w="0" w:type="dxa"/>
            <w:right w:w="108" w:type="dxa"/>
          </w:tblCellMar>
        </w:tblPrEx>
        <w:trPr>
          <w:trHeight w:val="157" w:hRule="atLeast"/>
          <w:jc w:val="center"/>
        </w:trPr>
        <w:tc>
          <w:tcPr>
            <w:tcW w:w="914" w:type="dxa"/>
            <w:vMerge w:val="continue"/>
            <w:tcBorders>
              <w:left w:val="single" w:color="auto" w:sz="4" w:space="0"/>
              <w:right w:val="single" w:color="auto" w:sz="4" w:space="0"/>
            </w:tcBorders>
            <w:vAlign w:val="center"/>
          </w:tcPr>
          <w:p>
            <w:pPr>
              <w:widowControl/>
              <w:jc w:val="left"/>
              <w:rPr>
                <w:rFonts w:ascii="宋体" w:hAnsi="宋体" w:cs="宋体"/>
                <w:color w:val="000000"/>
                <w:kern w:val="0"/>
                <w:szCs w:val="21"/>
                <w:highlight w:val="yellow"/>
              </w:rPr>
            </w:pPr>
          </w:p>
        </w:tc>
        <w:tc>
          <w:tcPr>
            <w:tcW w:w="2816" w:type="dxa"/>
            <w:vMerge w:val="continue"/>
            <w:tcBorders>
              <w:left w:val="single" w:color="auto" w:sz="4" w:space="0"/>
              <w:right w:val="single" w:color="auto" w:sz="4" w:space="0"/>
            </w:tcBorders>
            <w:vAlign w:val="center"/>
          </w:tcPr>
          <w:p>
            <w:pPr>
              <w:widowControl/>
              <w:jc w:val="left"/>
              <w:rPr>
                <w:rFonts w:ascii="宋体" w:hAnsi="宋体"/>
                <w:color w:val="000000"/>
                <w:kern w:val="0"/>
                <w:szCs w:val="21"/>
                <w:highlight w:val="yellow"/>
              </w:rPr>
            </w:pPr>
          </w:p>
        </w:tc>
        <w:tc>
          <w:tcPr>
            <w:tcW w:w="2260" w:type="dxa"/>
            <w:vMerge w:val="continue"/>
            <w:tcBorders>
              <w:left w:val="single" w:color="auto" w:sz="4" w:space="0"/>
              <w:right w:val="single" w:color="auto" w:sz="4" w:space="0"/>
            </w:tcBorders>
            <w:vAlign w:val="center"/>
          </w:tcPr>
          <w:p>
            <w:pPr>
              <w:widowControl/>
              <w:jc w:val="center"/>
              <w:rPr>
                <w:rFonts w:ascii="宋体" w:hAnsi="宋体" w:cs="宋体"/>
                <w:b/>
                <w:bCs/>
                <w:color w:val="000000"/>
                <w:kern w:val="0"/>
                <w:szCs w:val="21"/>
              </w:rPr>
            </w:pP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6KVA</w:t>
            </w:r>
          </w:p>
        </w:tc>
        <w:tc>
          <w:tcPr>
            <w:tcW w:w="17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0"/>
                <w:szCs w:val="20"/>
              </w:rPr>
            </w:pPr>
          </w:p>
        </w:tc>
      </w:tr>
      <w:tr>
        <w:tblPrEx>
          <w:tblLayout w:type="fixed"/>
          <w:tblCellMar>
            <w:top w:w="0" w:type="dxa"/>
            <w:left w:w="108" w:type="dxa"/>
            <w:bottom w:w="0" w:type="dxa"/>
            <w:right w:w="108" w:type="dxa"/>
          </w:tblCellMar>
        </w:tblPrEx>
        <w:trPr>
          <w:trHeight w:val="285" w:hRule="atLeast"/>
          <w:jc w:val="center"/>
        </w:trPr>
        <w:tc>
          <w:tcPr>
            <w:tcW w:w="914" w:type="dxa"/>
            <w:vMerge w:val="continue"/>
            <w:tcBorders>
              <w:left w:val="single" w:color="auto" w:sz="4" w:space="0"/>
              <w:right w:val="single" w:color="auto" w:sz="4" w:space="0"/>
            </w:tcBorders>
            <w:vAlign w:val="center"/>
          </w:tcPr>
          <w:p>
            <w:pPr>
              <w:widowControl/>
              <w:jc w:val="left"/>
              <w:rPr>
                <w:rFonts w:ascii="宋体" w:hAnsi="宋体" w:cs="宋体"/>
                <w:color w:val="000000"/>
                <w:kern w:val="0"/>
                <w:szCs w:val="21"/>
                <w:highlight w:val="yellow"/>
              </w:rPr>
            </w:pPr>
          </w:p>
        </w:tc>
        <w:tc>
          <w:tcPr>
            <w:tcW w:w="2816" w:type="dxa"/>
            <w:vMerge w:val="continue"/>
            <w:tcBorders>
              <w:left w:val="single" w:color="auto" w:sz="4" w:space="0"/>
              <w:right w:val="single" w:color="auto" w:sz="4" w:space="0"/>
            </w:tcBorders>
            <w:vAlign w:val="center"/>
          </w:tcPr>
          <w:p>
            <w:pPr>
              <w:widowControl/>
              <w:jc w:val="left"/>
              <w:rPr>
                <w:rFonts w:ascii="宋体" w:hAnsi="宋体"/>
                <w:color w:val="000000"/>
                <w:kern w:val="0"/>
                <w:szCs w:val="21"/>
                <w:highlight w:val="yellow"/>
              </w:rPr>
            </w:pPr>
          </w:p>
        </w:tc>
        <w:tc>
          <w:tcPr>
            <w:tcW w:w="2260" w:type="dxa"/>
            <w:vMerge w:val="continue"/>
            <w:tcBorders>
              <w:left w:val="single" w:color="auto" w:sz="4" w:space="0"/>
              <w:right w:val="single" w:color="auto" w:sz="4" w:space="0"/>
            </w:tcBorders>
            <w:vAlign w:val="center"/>
          </w:tcPr>
          <w:p>
            <w:pPr>
              <w:jc w:val="center"/>
              <w:rPr>
                <w:rFonts w:ascii="宋体" w:hAnsi="宋体" w:cs="宋体"/>
                <w:b/>
                <w:bCs/>
                <w:color w:val="000000"/>
                <w:kern w:val="0"/>
                <w:szCs w:val="21"/>
              </w:rPr>
            </w:pP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10KVA</w:t>
            </w:r>
          </w:p>
        </w:tc>
        <w:tc>
          <w:tcPr>
            <w:tcW w:w="17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0"/>
                <w:szCs w:val="20"/>
              </w:rPr>
            </w:pPr>
          </w:p>
        </w:tc>
      </w:tr>
      <w:tr>
        <w:tblPrEx>
          <w:tblLayout w:type="fixed"/>
          <w:tblCellMar>
            <w:top w:w="0" w:type="dxa"/>
            <w:left w:w="108" w:type="dxa"/>
            <w:bottom w:w="0" w:type="dxa"/>
            <w:right w:w="108" w:type="dxa"/>
          </w:tblCellMar>
        </w:tblPrEx>
        <w:trPr>
          <w:trHeight w:val="285" w:hRule="atLeast"/>
          <w:jc w:val="center"/>
        </w:trPr>
        <w:tc>
          <w:tcPr>
            <w:tcW w:w="91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highlight w:val="yellow"/>
              </w:rPr>
            </w:pPr>
          </w:p>
        </w:tc>
        <w:tc>
          <w:tcPr>
            <w:tcW w:w="281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Cs w:val="21"/>
                <w:highlight w:val="yellow"/>
              </w:rPr>
            </w:pPr>
          </w:p>
        </w:tc>
        <w:tc>
          <w:tcPr>
            <w:tcW w:w="2260"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p>
        </w:tc>
        <w:tc>
          <w:tcPr>
            <w:tcW w:w="20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20KVA</w:t>
            </w:r>
          </w:p>
        </w:tc>
        <w:tc>
          <w:tcPr>
            <w:tcW w:w="17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kern w:val="0"/>
                <w:sz w:val="20"/>
                <w:szCs w:val="20"/>
              </w:rPr>
            </w:pPr>
          </w:p>
        </w:tc>
      </w:tr>
    </w:tbl>
    <w:p>
      <w:pPr>
        <w:tabs>
          <w:tab w:val="left" w:pos="752"/>
        </w:tabs>
        <w:jc w:val="left"/>
        <w:rPr>
          <w:rFonts w:ascii="宋体" w:hAnsi="宋体"/>
        </w:rPr>
      </w:pPr>
    </w:p>
    <w:tbl>
      <w:tblPr>
        <w:tblStyle w:val="23"/>
        <w:tblW w:w="9954" w:type="dxa"/>
        <w:jc w:val="center"/>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2921"/>
        <w:gridCol w:w="2260"/>
        <w:gridCol w:w="2060"/>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3" w:type="dxa"/>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类别</w:t>
            </w:r>
          </w:p>
        </w:tc>
        <w:tc>
          <w:tcPr>
            <w:tcW w:w="2921" w:type="dxa"/>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产品名称</w:t>
            </w:r>
          </w:p>
        </w:tc>
        <w:tc>
          <w:tcPr>
            <w:tcW w:w="2260" w:type="dxa"/>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品牌</w:t>
            </w:r>
          </w:p>
        </w:tc>
        <w:tc>
          <w:tcPr>
            <w:tcW w:w="2060" w:type="dxa"/>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型号</w:t>
            </w:r>
          </w:p>
        </w:tc>
        <w:tc>
          <w:tcPr>
            <w:tcW w:w="1780" w:type="dxa"/>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单价（元/节）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33" w:type="dxa"/>
            <w:vMerge w:val="restart"/>
            <w:vAlign w:val="center"/>
          </w:tcPr>
          <w:p>
            <w:pPr>
              <w:jc w:val="center"/>
              <w:rPr>
                <w:rFonts w:ascii="宋体" w:hAnsi="宋体" w:cs="宋体"/>
                <w:color w:val="000000"/>
                <w:kern w:val="0"/>
                <w:szCs w:val="21"/>
              </w:rPr>
            </w:pPr>
            <w:r>
              <w:rPr>
                <w:rFonts w:hint="eastAsia" w:ascii="宋体" w:hAnsi="宋体" w:cs="宋体"/>
                <w:color w:val="000000"/>
                <w:kern w:val="0"/>
                <w:szCs w:val="21"/>
              </w:rPr>
              <w:t>2</w:t>
            </w:r>
          </w:p>
        </w:tc>
        <w:tc>
          <w:tcPr>
            <w:tcW w:w="2921" w:type="dxa"/>
            <w:vMerge w:val="restart"/>
            <w:vAlign w:val="center"/>
          </w:tcPr>
          <w:p>
            <w:pPr>
              <w:widowControl/>
              <w:jc w:val="center"/>
              <w:rPr>
                <w:rFonts w:ascii="宋体" w:hAnsi="宋体" w:cs="宋体"/>
                <w:color w:val="000000"/>
                <w:kern w:val="0"/>
                <w:sz w:val="20"/>
                <w:szCs w:val="20"/>
              </w:rPr>
            </w:pPr>
            <w:r>
              <w:rPr>
                <w:rFonts w:hint="eastAsia" w:ascii="宋体" w:hAnsi="宋体" w:cs="宋体"/>
                <w:bCs/>
                <w:color w:val="000000"/>
                <w:kern w:val="0"/>
                <w:sz w:val="20"/>
                <w:szCs w:val="20"/>
              </w:rPr>
              <w:t>蓄电池</w:t>
            </w:r>
          </w:p>
        </w:tc>
        <w:tc>
          <w:tcPr>
            <w:tcW w:w="2260" w:type="dxa"/>
            <w:vAlign w:val="center"/>
          </w:tcPr>
          <w:p>
            <w:pPr>
              <w:widowControl/>
              <w:jc w:val="center"/>
              <w:rPr>
                <w:rFonts w:hint="eastAsia" w:ascii="宋体" w:hAnsi="宋体" w:eastAsia="宋体" w:cs="宋体"/>
                <w:b/>
                <w:bCs/>
                <w:color w:val="000000"/>
                <w:kern w:val="0"/>
                <w:szCs w:val="21"/>
                <w:lang w:eastAsia="zh-CN"/>
              </w:rPr>
            </w:pPr>
            <w:r>
              <w:rPr>
                <w:rFonts w:hint="eastAsia" w:ascii="宋体" w:hAnsi="宋体" w:cs="宋体"/>
                <w:b/>
                <w:bCs/>
                <w:color w:val="000000"/>
                <w:kern w:val="0"/>
                <w:szCs w:val="21"/>
                <w:lang w:eastAsia="zh-CN"/>
              </w:rPr>
              <w:t>西恩迪</w:t>
            </w:r>
          </w:p>
        </w:tc>
        <w:tc>
          <w:tcPr>
            <w:tcW w:w="2060"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100AH</w:t>
            </w:r>
          </w:p>
        </w:tc>
        <w:tc>
          <w:tcPr>
            <w:tcW w:w="1780" w:type="dxa"/>
            <w:vAlign w:val="center"/>
          </w:tcPr>
          <w:p>
            <w:pPr>
              <w:widowControl/>
              <w:jc w:val="center"/>
              <w:rPr>
                <w:rFonts w:ascii="宋体" w:hAnsi="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933" w:type="dxa"/>
            <w:vMerge w:val="continue"/>
            <w:vAlign w:val="center"/>
          </w:tcPr>
          <w:p>
            <w:pPr>
              <w:jc w:val="center"/>
              <w:rPr>
                <w:rFonts w:ascii="宋体" w:hAnsi="宋体" w:cs="宋体"/>
                <w:color w:val="000000"/>
                <w:kern w:val="0"/>
                <w:szCs w:val="21"/>
              </w:rPr>
            </w:pPr>
          </w:p>
        </w:tc>
        <w:tc>
          <w:tcPr>
            <w:tcW w:w="2921" w:type="dxa"/>
            <w:vMerge w:val="continue"/>
            <w:vAlign w:val="center"/>
          </w:tcPr>
          <w:p>
            <w:pPr>
              <w:widowControl/>
              <w:jc w:val="left"/>
              <w:rPr>
                <w:rFonts w:ascii="宋体" w:hAnsi="宋体" w:cs="宋体"/>
                <w:color w:val="000000"/>
                <w:kern w:val="0"/>
                <w:sz w:val="20"/>
                <w:szCs w:val="20"/>
              </w:rPr>
            </w:pPr>
          </w:p>
        </w:tc>
        <w:tc>
          <w:tcPr>
            <w:tcW w:w="2260"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南都</w:t>
            </w:r>
          </w:p>
        </w:tc>
        <w:tc>
          <w:tcPr>
            <w:tcW w:w="2060" w:type="dxa"/>
            <w:vAlign w:val="center"/>
          </w:tcPr>
          <w:p>
            <w:pPr>
              <w:jc w:val="center"/>
              <w:rPr>
                <w:rFonts w:ascii="宋体" w:hAnsi="宋体" w:cs="宋体"/>
                <w:b/>
                <w:color w:val="000000"/>
                <w:kern w:val="0"/>
                <w:szCs w:val="21"/>
              </w:rPr>
            </w:pPr>
            <w:r>
              <w:rPr>
                <w:rFonts w:hint="eastAsia" w:ascii="宋体" w:hAnsi="宋体" w:cs="宋体"/>
                <w:b/>
                <w:bCs/>
                <w:color w:val="000000"/>
                <w:kern w:val="0"/>
                <w:szCs w:val="21"/>
              </w:rPr>
              <w:t>100AH</w:t>
            </w:r>
          </w:p>
        </w:tc>
        <w:tc>
          <w:tcPr>
            <w:tcW w:w="1780" w:type="dxa"/>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933" w:type="dxa"/>
            <w:vMerge w:val="continue"/>
            <w:vAlign w:val="center"/>
          </w:tcPr>
          <w:p>
            <w:pPr>
              <w:widowControl/>
              <w:jc w:val="center"/>
              <w:rPr>
                <w:rFonts w:ascii="宋体" w:hAnsi="宋体" w:cs="宋体"/>
                <w:color w:val="000000"/>
                <w:kern w:val="0"/>
                <w:szCs w:val="21"/>
              </w:rPr>
            </w:pPr>
          </w:p>
        </w:tc>
        <w:tc>
          <w:tcPr>
            <w:tcW w:w="2921" w:type="dxa"/>
            <w:vMerge w:val="restart"/>
            <w:vAlign w:val="center"/>
          </w:tcPr>
          <w:p>
            <w:pPr>
              <w:widowControl/>
              <w:jc w:val="center"/>
              <w:rPr>
                <w:rFonts w:ascii="宋体" w:hAnsi="宋体" w:cs="宋体"/>
                <w:bCs/>
                <w:color w:val="000000"/>
                <w:kern w:val="0"/>
                <w:sz w:val="20"/>
                <w:szCs w:val="20"/>
              </w:rPr>
            </w:pPr>
            <w:r>
              <w:rPr>
                <w:rFonts w:hint="eastAsia" w:ascii="宋体" w:hAnsi="宋体" w:cs="宋体"/>
                <w:bCs/>
                <w:color w:val="000000"/>
                <w:kern w:val="0"/>
                <w:sz w:val="20"/>
                <w:szCs w:val="20"/>
              </w:rPr>
              <w:t>电池</w:t>
            </w:r>
            <w:r>
              <w:rPr>
                <w:rFonts w:ascii="宋体" w:hAnsi="宋体" w:cs="宋体"/>
                <w:bCs/>
                <w:color w:val="000000"/>
                <w:kern w:val="0"/>
                <w:sz w:val="20"/>
                <w:szCs w:val="20"/>
              </w:rPr>
              <w:t>柜</w:t>
            </w:r>
          </w:p>
        </w:tc>
        <w:tc>
          <w:tcPr>
            <w:tcW w:w="2260" w:type="dxa"/>
            <w:vMerge w:val="restart"/>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不指定</w:t>
            </w:r>
          </w:p>
        </w:tc>
        <w:tc>
          <w:tcPr>
            <w:tcW w:w="2060"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100AH 20节箱</w:t>
            </w:r>
          </w:p>
        </w:tc>
        <w:tc>
          <w:tcPr>
            <w:tcW w:w="1780" w:type="dxa"/>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933" w:type="dxa"/>
            <w:vMerge w:val="continue"/>
            <w:vAlign w:val="center"/>
          </w:tcPr>
          <w:p>
            <w:pPr>
              <w:widowControl/>
              <w:jc w:val="left"/>
              <w:rPr>
                <w:rFonts w:ascii="宋体" w:hAnsi="宋体" w:cs="宋体"/>
                <w:color w:val="000000"/>
                <w:kern w:val="0"/>
                <w:szCs w:val="21"/>
              </w:rPr>
            </w:pPr>
          </w:p>
        </w:tc>
        <w:tc>
          <w:tcPr>
            <w:tcW w:w="2921" w:type="dxa"/>
            <w:vMerge w:val="continue"/>
            <w:vAlign w:val="center"/>
          </w:tcPr>
          <w:p>
            <w:pPr>
              <w:widowControl/>
              <w:jc w:val="left"/>
              <w:rPr>
                <w:rFonts w:ascii="宋体" w:hAnsi="宋体" w:cs="宋体"/>
                <w:color w:val="000000"/>
                <w:kern w:val="0"/>
                <w:sz w:val="20"/>
                <w:szCs w:val="20"/>
              </w:rPr>
            </w:pPr>
          </w:p>
        </w:tc>
        <w:tc>
          <w:tcPr>
            <w:tcW w:w="2260" w:type="dxa"/>
            <w:vMerge w:val="continue"/>
            <w:vAlign w:val="center"/>
          </w:tcPr>
          <w:p>
            <w:pPr>
              <w:widowControl/>
              <w:jc w:val="center"/>
              <w:rPr>
                <w:rFonts w:ascii="宋体" w:hAnsi="宋体" w:cs="宋体"/>
                <w:b/>
                <w:bCs/>
                <w:color w:val="000000"/>
                <w:kern w:val="0"/>
                <w:szCs w:val="21"/>
              </w:rPr>
            </w:pPr>
          </w:p>
        </w:tc>
        <w:tc>
          <w:tcPr>
            <w:tcW w:w="2060" w:type="dxa"/>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100AH 16节箱</w:t>
            </w:r>
          </w:p>
        </w:tc>
        <w:tc>
          <w:tcPr>
            <w:tcW w:w="1780" w:type="dxa"/>
            <w:vAlign w:val="center"/>
          </w:tcPr>
          <w:p>
            <w:pPr>
              <w:widowControl/>
              <w:jc w:val="center"/>
              <w:rPr>
                <w:rFonts w:ascii="宋体" w:hAnsi="宋体" w:cs="宋体"/>
                <w:color w:val="000000"/>
                <w:kern w:val="0"/>
                <w:sz w:val="20"/>
                <w:szCs w:val="20"/>
              </w:rPr>
            </w:pPr>
          </w:p>
        </w:tc>
      </w:tr>
    </w:tbl>
    <w:p>
      <w:pPr>
        <w:tabs>
          <w:tab w:val="left" w:pos="752"/>
        </w:tabs>
        <w:jc w:val="left"/>
        <w:rPr>
          <w:rFonts w:ascii="宋体" w:hAnsi="宋体"/>
        </w:rPr>
      </w:pPr>
    </w:p>
    <w:p>
      <w:pPr>
        <w:tabs>
          <w:tab w:val="left" w:pos="752"/>
        </w:tabs>
        <w:jc w:val="left"/>
        <w:rPr>
          <w:rFonts w:ascii="宋体" w:hAnsi="宋体"/>
          <w:b/>
          <w:sz w:val="28"/>
          <w:szCs w:val="28"/>
        </w:rPr>
      </w:pPr>
      <w:r>
        <w:rPr>
          <w:rFonts w:hint="eastAsia" w:ascii="宋体" w:hAnsi="宋体"/>
          <w:b/>
          <w:sz w:val="28"/>
          <w:szCs w:val="28"/>
        </w:rPr>
        <w:t>二、有偿维保报价：</w:t>
      </w:r>
    </w:p>
    <w:p>
      <w:pPr>
        <w:tabs>
          <w:tab w:val="left" w:pos="752"/>
        </w:tabs>
        <w:ind w:firstLine="560" w:firstLineChars="200"/>
        <w:jc w:val="left"/>
        <w:rPr>
          <w:rFonts w:ascii="宋体" w:hAnsi="宋体"/>
          <w:sz w:val="28"/>
          <w:szCs w:val="28"/>
        </w:rPr>
      </w:pPr>
      <w:r>
        <w:rPr>
          <w:rFonts w:hint="eastAsia" w:ascii="宋体" w:hAnsi="宋体"/>
          <w:sz w:val="28"/>
          <w:szCs w:val="28"/>
        </w:rPr>
        <w:t>参与UPS产品投标的投标人还应对设备出保后的有偿维保报价并</w:t>
      </w:r>
      <w:r>
        <w:rPr>
          <w:rFonts w:ascii="宋体" w:hAnsi="宋体"/>
          <w:sz w:val="28"/>
          <w:szCs w:val="28"/>
        </w:rPr>
        <w:t>填写在下表中</w:t>
      </w:r>
      <w:r>
        <w:rPr>
          <w:rFonts w:hint="eastAsia" w:ascii="宋体" w:hAnsi="宋体"/>
          <w:sz w:val="28"/>
          <w:szCs w:val="28"/>
        </w:rPr>
        <w:t>：</w:t>
      </w:r>
    </w:p>
    <w:p>
      <w:pPr>
        <w:tabs>
          <w:tab w:val="left" w:pos="752"/>
        </w:tabs>
        <w:jc w:val="center"/>
        <w:rPr>
          <w:rFonts w:ascii="宋体" w:hAnsi="宋体"/>
        </w:rPr>
      </w:pPr>
    </w:p>
    <w:tbl>
      <w:tblPr>
        <w:tblStyle w:val="23"/>
        <w:tblW w:w="10035" w:type="dxa"/>
        <w:jc w:val="center"/>
        <w:tblInd w:w="96" w:type="dxa"/>
        <w:tblLayout w:type="fixed"/>
        <w:tblCellMar>
          <w:top w:w="0" w:type="dxa"/>
          <w:left w:w="108" w:type="dxa"/>
          <w:bottom w:w="0" w:type="dxa"/>
          <w:right w:w="108" w:type="dxa"/>
        </w:tblCellMar>
      </w:tblPr>
      <w:tblGrid>
        <w:gridCol w:w="1050"/>
        <w:gridCol w:w="2646"/>
        <w:gridCol w:w="2615"/>
        <w:gridCol w:w="1988"/>
        <w:gridCol w:w="1736"/>
      </w:tblGrid>
      <w:tr>
        <w:tblPrEx>
          <w:tblLayout w:type="fixed"/>
          <w:tblCellMar>
            <w:top w:w="0" w:type="dxa"/>
            <w:left w:w="108" w:type="dxa"/>
            <w:bottom w:w="0" w:type="dxa"/>
            <w:right w:w="108" w:type="dxa"/>
          </w:tblCellMar>
        </w:tblPrEx>
        <w:trPr>
          <w:trHeight w:val="639" w:hRule="atLeast"/>
          <w:jc w:val="center"/>
        </w:trPr>
        <w:tc>
          <w:tcPr>
            <w:tcW w:w="1050" w:type="dxa"/>
            <w:tcBorders>
              <w:top w:val="single" w:color="auto" w:sz="4" w:space="0"/>
              <w:left w:val="single" w:color="auto" w:sz="8" w:space="0"/>
              <w:bottom w:val="single" w:color="auto" w:sz="4" w:space="0"/>
              <w:right w:val="single" w:color="auto" w:sz="8"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类别</w:t>
            </w:r>
          </w:p>
        </w:tc>
        <w:tc>
          <w:tcPr>
            <w:tcW w:w="2646" w:type="dxa"/>
            <w:tcBorders>
              <w:top w:val="single" w:color="auto" w:sz="4" w:space="0"/>
              <w:left w:val="nil"/>
              <w:bottom w:val="single" w:color="auto" w:sz="4" w:space="0"/>
              <w:right w:val="single" w:color="auto" w:sz="8"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产品名称</w:t>
            </w:r>
          </w:p>
        </w:tc>
        <w:tc>
          <w:tcPr>
            <w:tcW w:w="2615" w:type="dxa"/>
            <w:tcBorders>
              <w:top w:val="single" w:color="auto" w:sz="4" w:space="0"/>
              <w:left w:val="nil"/>
              <w:bottom w:val="single" w:color="auto" w:sz="4" w:space="0"/>
              <w:right w:val="single" w:color="auto" w:sz="8"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品牌</w:t>
            </w:r>
          </w:p>
        </w:tc>
        <w:tc>
          <w:tcPr>
            <w:tcW w:w="1988" w:type="dxa"/>
            <w:tcBorders>
              <w:top w:val="single" w:color="auto" w:sz="4" w:space="0"/>
              <w:left w:val="nil"/>
              <w:bottom w:val="single" w:color="auto" w:sz="4" w:space="0"/>
              <w:right w:val="single" w:color="auto" w:sz="8"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型号</w:t>
            </w:r>
          </w:p>
        </w:tc>
        <w:tc>
          <w:tcPr>
            <w:tcW w:w="1736" w:type="dxa"/>
            <w:tcBorders>
              <w:top w:val="single" w:color="auto" w:sz="4" w:space="0"/>
              <w:left w:val="nil"/>
              <w:bottom w:val="single" w:color="auto" w:sz="4" w:space="0"/>
              <w:right w:val="single" w:color="auto" w:sz="8" w:space="0"/>
            </w:tcBorders>
            <w:shd w:val="clear" w:color="000000" w:fill="E6E6E6"/>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单台年维保价格</w:t>
            </w:r>
          </w:p>
          <w:p>
            <w:pPr>
              <w:widowControl/>
              <w:jc w:val="center"/>
              <w:rPr>
                <w:rFonts w:ascii="宋体" w:hAnsi="宋体" w:cs="宋体"/>
                <w:b/>
                <w:bCs/>
                <w:color w:val="000000"/>
                <w:kern w:val="0"/>
                <w:szCs w:val="21"/>
              </w:rPr>
            </w:pPr>
            <w:r>
              <w:rPr>
                <w:rFonts w:hint="eastAsia" w:ascii="宋体" w:hAnsi="宋体" w:cs="宋体"/>
                <w:b/>
                <w:bCs/>
                <w:color w:val="000000"/>
                <w:kern w:val="0"/>
                <w:szCs w:val="21"/>
              </w:rPr>
              <w:t>（元/台/年）</w:t>
            </w:r>
          </w:p>
        </w:tc>
      </w:tr>
      <w:tr>
        <w:tblPrEx>
          <w:tblLayout w:type="fixed"/>
          <w:tblCellMar>
            <w:top w:w="0" w:type="dxa"/>
            <w:left w:w="108" w:type="dxa"/>
            <w:bottom w:w="0" w:type="dxa"/>
            <w:right w:w="108" w:type="dxa"/>
          </w:tblCellMar>
        </w:tblPrEx>
        <w:trPr>
          <w:trHeight w:val="285" w:hRule="atLeast"/>
          <w:jc w:val="center"/>
        </w:trPr>
        <w:tc>
          <w:tcPr>
            <w:tcW w:w="1050" w:type="dxa"/>
            <w:vMerge w:val="restart"/>
            <w:tcBorders>
              <w:top w:val="single" w:color="auto" w:sz="4" w:space="0"/>
              <w:left w:val="single" w:color="auto" w:sz="4" w:space="0"/>
              <w:bottom w:val="single" w:color="auto" w:sz="4" w:space="0"/>
              <w:right w:val="single" w:color="auto" w:sz="4" w:space="0"/>
            </w:tcBorders>
            <w:vAlign w:val="center"/>
          </w:tcPr>
          <w:p>
            <w:pPr>
              <w:pStyle w:val="2"/>
              <w:rPr>
                <w:rFonts w:hint="eastAsia" w:eastAsia="宋体"/>
                <w:lang w:val="en-US" w:eastAsia="zh-CN"/>
              </w:rPr>
            </w:pPr>
          </w:p>
        </w:tc>
        <w:tc>
          <w:tcPr>
            <w:tcW w:w="26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0"/>
                <w:szCs w:val="20"/>
              </w:rPr>
            </w:pPr>
          </w:p>
        </w:tc>
        <w:tc>
          <w:tcPr>
            <w:tcW w:w="26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 w:val="24"/>
              </w:rPr>
            </w:pPr>
          </w:p>
        </w:tc>
        <w:tc>
          <w:tcPr>
            <w:tcW w:w="19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Cs w:val="21"/>
              </w:rPr>
            </w:pPr>
          </w:p>
        </w:tc>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285" w:hRule="atLeast"/>
          <w:jc w:val="center"/>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pStyle w:val="2"/>
            </w:pPr>
          </w:p>
        </w:tc>
        <w:tc>
          <w:tcPr>
            <w:tcW w:w="26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p>
        </w:tc>
        <w:tc>
          <w:tcPr>
            <w:tcW w:w="26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snapToGrid w:val="0"/>
                <w:color w:val="000000"/>
                <w:sz w:val="24"/>
              </w:rPr>
            </w:pPr>
          </w:p>
        </w:tc>
        <w:tc>
          <w:tcPr>
            <w:tcW w:w="19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snapToGrid w:val="0"/>
                <w:color w:val="000000"/>
                <w:sz w:val="24"/>
              </w:rPr>
            </w:pPr>
          </w:p>
        </w:tc>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285" w:hRule="atLeast"/>
          <w:jc w:val="center"/>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Cs w:val="21"/>
              </w:rPr>
            </w:pPr>
          </w:p>
        </w:tc>
        <w:tc>
          <w:tcPr>
            <w:tcW w:w="26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p>
        </w:tc>
        <w:tc>
          <w:tcPr>
            <w:tcW w:w="26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snapToGrid w:val="0"/>
                <w:color w:val="000000"/>
                <w:sz w:val="24"/>
              </w:rPr>
            </w:pPr>
          </w:p>
        </w:tc>
        <w:tc>
          <w:tcPr>
            <w:tcW w:w="19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snapToGrid w:val="0"/>
                <w:color w:val="000000"/>
                <w:sz w:val="24"/>
              </w:rPr>
            </w:pPr>
          </w:p>
        </w:tc>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 w:val="24"/>
              </w:rPr>
            </w:pPr>
          </w:p>
        </w:tc>
      </w:tr>
      <w:tr>
        <w:tblPrEx>
          <w:tblLayout w:type="fixed"/>
          <w:tblCellMar>
            <w:top w:w="0" w:type="dxa"/>
            <w:left w:w="108" w:type="dxa"/>
            <w:bottom w:w="0" w:type="dxa"/>
            <w:right w:w="108" w:type="dxa"/>
          </w:tblCellMar>
        </w:tblPrEx>
        <w:trPr>
          <w:trHeight w:val="285" w:hRule="atLeast"/>
          <w:jc w:val="center"/>
        </w:trPr>
        <w:tc>
          <w:tcPr>
            <w:tcW w:w="105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Cs w:val="21"/>
              </w:rPr>
            </w:pPr>
          </w:p>
        </w:tc>
        <w:tc>
          <w:tcPr>
            <w:tcW w:w="264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sz w:val="24"/>
              </w:rPr>
            </w:pPr>
          </w:p>
        </w:tc>
        <w:tc>
          <w:tcPr>
            <w:tcW w:w="26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snapToGrid w:val="0"/>
                <w:color w:val="000000"/>
                <w:sz w:val="24"/>
              </w:rPr>
            </w:pPr>
          </w:p>
        </w:tc>
        <w:tc>
          <w:tcPr>
            <w:tcW w:w="19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snapToGrid w:val="0"/>
                <w:color w:val="000000"/>
                <w:sz w:val="24"/>
              </w:rPr>
            </w:pPr>
          </w:p>
        </w:tc>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sz w:val="24"/>
              </w:rPr>
            </w:pPr>
          </w:p>
        </w:tc>
      </w:tr>
    </w:tbl>
    <w:p>
      <w:pPr>
        <w:tabs>
          <w:tab w:val="left" w:pos="752"/>
        </w:tabs>
        <w:rPr>
          <w:rFonts w:ascii="宋体" w:hAnsi="宋体"/>
        </w:rPr>
      </w:pPr>
    </w:p>
    <w:p>
      <w:pPr>
        <w:tabs>
          <w:tab w:val="left" w:pos="752"/>
        </w:tabs>
        <w:rPr>
          <w:rFonts w:ascii="宋体" w:hAnsi="宋体"/>
          <w:b/>
          <w:sz w:val="28"/>
          <w:szCs w:val="28"/>
        </w:rPr>
      </w:pPr>
      <w:r>
        <w:rPr>
          <w:rFonts w:hint="eastAsia" w:ascii="宋体" w:hAnsi="宋体"/>
          <w:b/>
          <w:sz w:val="28"/>
          <w:szCs w:val="28"/>
        </w:rPr>
        <w:t>三、其他服务：</w:t>
      </w:r>
    </w:p>
    <w:p>
      <w:pPr>
        <w:tabs>
          <w:tab w:val="left" w:pos="752"/>
        </w:tabs>
        <w:ind w:firstLine="560" w:firstLineChars="200"/>
        <w:rPr>
          <w:rFonts w:ascii="宋体" w:hAnsi="宋体"/>
        </w:rPr>
      </w:pPr>
      <w:r>
        <w:rPr>
          <w:rFonts w:hint="eastAsia" w:ascii="宋体" w:hAnsi="宋体"/>
          <w:sz w:val="28"/>
          <w:szCs w:val="28"/>
        </w:rPr>
        <w:t>本项目的</w:t>
      </w:r>
      <w:r>
        <w:rPr>
          <w:rFonts w:hint="eastAsia" w:ascii="宋体" w:hAnsi="宋体"/>
          <w:b/>
          <w:sz w:val="28"/>
          <w:szCs w:val="28"/>
        </w:rPr>
        <w:t>中标单位</w:t>
      </w:r>
      <w:r>
        <w:rPr>
          <w:rFonts w:hint="eastAsia" w:ascii="宋体" w:hAnsi="宋体"/>
          <w:sz w:val="28"/>
          <w:szCs w:val="28"/>
        </w:rPr>
        <w:t>，因我公司及下属机构、支行（分理处）调整搬迁、装修等事项，必须提供UPS、发电机及相关设备的搬运安装服务，我公司将提供相关服务费1500元/次。</w:t>
      </w:r>
    </w:p>
    <w:p/>
    <w:p/>
    <w:p/>
    <w:p/>
    <w:p/>
    <w:p/>
    <w:p/>
    <w:p/>
    <w:p/>
    <w:p/>
    <w:p/>
    <w:p/>
    <w:p/>
    <w:p/>
    <w:p>
      <w:pPr>
        <w:rPr>
          <w:sz w:val="28"/>
        </w:rPr>
      </w:pPr>
      <w:r>
        <w:rPr>
          <w:rFonts w:hint="eastAsia"/>
          <w:sz w:val="28"/>
        </w:rPr>
        <w:t>投标人（法人公章）：</w:t>
      </w:r>
    </w:p>
    <w:p>
      <w:pPr>
        <w:rPr>
          <w:sz w:val="28"/>
        </w:rPr>
      </w:pPr>
      <w:r>
        <w:rPr>
          <w:rFonts w:hint="eastAsia"/>
          <w:sz w:val="28"/>
        </w:rPr>
        <w:t>法定代表人（或授权代表）：</w:t>
      </w:r>
    </w:p>
    <w:p>
      <w:pPr>
        <w:rPr>
          <w:sz w:val="28"/>
        </w:rPr>
      </w:pPr>
      <w:r>
        <w:rPr>
          <w:rFonts w:hint="eastAsia"/>
          <w:sz w:val="28"/>
        </w:rPr>
        <w:t>日期 ：</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swiss"/>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bullet"/>
      <w:lvlText w:val=""/>
      <w:lvlJc w:val="left"/>
      <w:pPr>
        <w:tabs>
          <w:tab w:val="left" w:pos="1265"/>
        </w:tabs>
        <w:ind w:left="1265" w:hanging="420"/>
      </w:pPr>
      <w:rPr>
        <w:rFonts w:hint="default" w:ascii="Wingdings" w:hAnsi="Wingdings"/>
      </w:rPr>
    </w:lvl>
    <w:lvl w:ilvl="1" w:tentative="0">
      <w:start w:val="1"/>
      <w:numFmt w:val="bullet"/>
      <w:pStyle w:val="57"/>
      <w:lvlText w:val=""/>
      <w:lvlJc w:val="left"/>
      <w:pPr>
        <w:tabs>
          <w:tab w:val="left" w:pos="1685"/>
        </w:tabs>
        <w:ind w:left="1685" w:hanging="420"/>
      </w:pPr>
      <w:rPr>
        <w:rFonts w:hint="default" w:ascii="Wingdings" w:hAnsi="Wingdings"/>
      </w:rPr>
    </w:lvl>
    <w:lvl w:ilvl="2" w:tentative="0">
      <w:start w:val="1"/>
      <w:numFmt w:val="bullet"/>
      <w:lvlText w:val=""/>
      <w:lvlJc w:val="left"/>
      <w:pPr>
        <w:tabs>
          <w:tab w:val="left" w:pos="2105"/>
        </w:tabs>
        <w:ind w:left="2105" w:hanging="420"/>
      </w:pPr>
      <w:rPr>
        <w:rFonts w:hint="default" w:ascii="Wingdings" w:hAnsi="Wingdings"/>
      </w:rPr>
    </w:lvl>
    <w:lvl w:ilvl="3" w:tentative="0">
      <w:start w:val="1"/>
      <w:numFmt w:val="bullet"/>
      <w:lvlText w:val=""/>
      <w:lvlJc w:val="left"/>
      <w:pPr>
        <w:tabs>
          <w:tab w:val="left" w:pos="2525"/>
        </w:tabs>
        <w:ind w:left="2525" w:hanging="420"/>
      </w:pPr>
      <w:rPr>
        <w:rFonts w:hint="default" w:ascii="Wingdings" w:hAnsi="Wingdings"/>
      </w:rPr>
    </w:lvl>
    <w:lvl w:ilvl="4" w:tentative="0">
      <w:start w:val="1"/>
      <w:numFmt w:val="bullet"/>
      <w:lvlText w:val=""/>
      <w:lvlJc w:val="left"/>
      <w:pPr>
        <w:tabs>
          <w:tab w:val="left" w:pos="2945"/>
        </w:tabs>
        <w:ind w:left="2945" w:hanging="420"/>
      </w:pPr>
      <w:rPr>
        <w:rFonts w:hint="default" w:ascii="Wingdings" w:hAnsi="Wingdings"/>
      </w:rPr>
    </w:lvl>
    <w:lvl w:ilvl="5" w:tentative="0">
      <w:start w:val="1"/>
      <w:numFmt w:val="bullet"/>
      <w:lvlText w:val=""/>
      <w:lvlJc w:val="left"/>
      <w:pPr>
        <w:tabs>
          <w:tab w:val="left" w:pos="3365"/>
        </w:tabs>
        <w:ind w:left="3365" w:hanging="420"/>
      </w:pPr>
      <w:rPr>
        <w:rFonts w:hint="default" w:ascii="Wingdings" w:hAnsi="Wingdings"/>
      </w:rPr>
    </w:lvl>
    <w:lvl w:ilvl="6" w:tentative="0">
      <w:start w:val="1"/>
      <w:numFmt w:val="bullet"/>
      <w:lvlText w:val=""/>
      <w:lvlJc w:val="left"/>
      <w:pPr>
        <w:tabs>
          <w:tab w:val="left" w:pos="3785"/>
        </w:tabs>
        <w:ind w:left="3785" w:hanging="420"/>
      </w:pPr>
      <w:rPr>
        <w:rFonts w:hint="default" w:ascii="Wingdings" w:hAnsi="Wingdings"/>
      </w:rPr>
    </w:lvl>
    <w:lvl w:ilvl="7" w:tentative="0">
      <w:start w:val="1"/>
      <w:numFmt w:val="bullet"/>
      <w:lvlText w:val=""/>
      <w:lvlJc w:val="left"/>
      <w:pPr>
        <w:tabs>
          <w:tab w:val="left" w:pos="4205"/>
        </w:tabs>
        <w:ind w:left="4205" w:hanging="420"/>
      </w:pPr>
      <w:rPr>
        <w:rFonts w:hint="default" w:ascii="Wingdings" w:hAnsi="Wingdings"/>
      </w:rPr>
    </w:lvl>
    <w:lvl w:ilvl="8" w:tentative="0">
      <w:start w:val="1"/>
      <w:numFmt w:val="bullet"/>
      <w:lvlText w:val=""/>
      <w:lvlJc w:val="left"/>
      <w:pPr>
        <w:tabs>
          <w:tab w:val="left" w:pos="4625"/>
        </w:tabs>
        <w:ind w:left="4625" w:hanging="42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pStyle w:val="5"/>
      <w:lvlText w:val="%1.%2.%3.%4.%5"/>
      <w:lvlJc w:val="left"/>
      <w:pPr>
        <w:ind w:left="0" w:firstLine="0"/>
      </w:pPr>
    </w:lvl>
    <w:lvl w:ilvl="5" w:tentative="0">
      <w:start w:val="1"/>
      <w:numFmt w:val="decimal"/>
      <w:pStyle w:val="7"/>
      <w:lvlText w:val="%1.%2.%3.%4.%5.%6"/>
      <w:lvlJc w:val="left"/>
      <w:pPr>
        <w:ind w:left="0" w:firstLine="0"/>
      </w:pPr>
    </w:lvl>
    <w:lvl w:ilvl="6" w:tentative="0">
      <w:start w:val="1"/>
      <w:numFmt w:val="decimal"/>
      <w:pStyle w:val="8"/>
      <w:lvlText w:val="%1.%2.%3.%4.%5.%6.%7"/>
      <w:lvlJc w:val="left"/>
      <w:pPr>
        <w:ind w:left="0" w:firstLine="0"/>
      </w:pPr>
    </w:lvl>
    <w:lvl w:ilvl="7" w:tentative="0">
      <w:start w:val="1"/>
      <w:numFmt w:val="decimal"/>
      <w:pStyle w:val="9"/>
      <w:lvlText w:val="%1.%2.%3.%4.%5.%6.%7.%8"/>
      <w:lvlJc w:val="left"/>
      <w:pPr>
        <w:ind w:left="0" w:firstLine="0"/>
      </w:pPr>
    </w:lvl>
    <w:lvl w:ilvl="8" w:tentative="0">
      <w:start w:val="1"/>
      <w:numFmt w:val="decimal"/>
      <w:pStyle w:val="10"/>
      <w:lvlText w:val="%1.%2.%3.%4.%5.%6.%7.%8.%9"/>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190"/>
    <w:rsid w:val="00176F64"/>
    <w:rsid w:val="00230134"/>
    <w:rsid w:val="0027143A"/>
    <w:rsid w:val="003C5B42"/>
    <w:rsid w:val="00412888"/>
    <w:rsid w:val="004F5D24"/>
    <w:rsid w:val="00570735"/>
    <w:rsid w:val="00616AE8"/>
    <w:rsid w:val="006B21A6"/>
    <w:rsid w:val="006D4C14"/>
    <w:rsid w:val="0070228D"/>
    <w:rsid w:val="007358E4"/>
    <w:rsid w:val="007542C4"/>
    <w:rsid w:val="007662E5"/>
    <w:rsid w:val="007D5326"/>
    <w:rsid w:val="008124E3"/>
    <w:rsid w:val="0082749A"/>
    <w:rsid w:val="00833F77"/>
    <w:rsid w:val="00866EE0"/>
    <w:rsid w:val="008E7BA4"/>
    <w:rsid w:val="0091021E"/>
    <w:rsid w:val="00974391"/>
    <w:rsid w:val="009767C2"/>
    <w:rsid w:val="009B6D21"/>
    <w:rsid w:val="00AD4CD4"/>
    <w:rsid w:val="00B0372E"/>
    <w:rsid w:val="00BB4C95"/>
    <w:rsid w:val="00D01190"/>
    <w:rsid w:val="00E121C3"/>
    <w:rsid w:val="00F42986"/>
    <w:rsid w:val="01751BC8"/>
    <w:rsid w:val="0F706888"/>
    <w:rsid w:val="188E3172"/>
    <w:rsid w:val="220E7A2E"/>
    <w:rsid w:val="29CE5489"/>
    <w:rsid w:val="2F151FB0"/>
    <w:rsid w:val="4E993F17"/>
    <w:rsid w:val="4F247C51"/>
    <w:rsid w:val="6868762A"/>
    <w:rsid w:val="6E6B4C42"/>
    <w:rsid w:val="72BA4D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jc w:val="center"/>
      <w:outlineLvl w:val="0"/>
    </w:pPr>
    <w:rPr>
      <w:rFonts w:ascii="宋体"/>
      <w:sz w:val="28"/>
    </w:rPr>
  </w:style>
  <w:style w:type="paragraph" w:styleId="3">
    <w:name w:val="heading 2"/>
    <w:basedOn w:val="1"/>
    <w:next w:val="1"/>
    <w:link w:val="31"/>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link w:val="32"/>
    <w:qFormat/>
    <w:uiPriority w:val="0"/>
    <w:pPr>
      <w:keepNext/>
      <w:keepLines/>
      <w:spacing w:line="413" w:lineRule="auto"/>
      <w:outlineLvl w:val="2"/>
    </w:pPr>
    <w:rPr>
      <w:b/>
      <w:bCs/>
      <w:sz w:val="32"/>
      <w:szCs w:val="32"/>
    </w:rPr>
  </w:style>
  <w:style w:type="paragraph" w:styleId="5">
    <w:name w:val="heading 5"/>
    <w:basedOn w:val="1"/>
    <w:next w:val="6"/>
    <w:link w:val="33"/>
    <w:qFormat/>
    <w:uiPriority w:val="0"/>
    <w:pPr>
      <w:keepNext/>
      <w:keepLines/>
      <w:numPr>
        <w:ilvl w:val="4"/>
        <w:numId w:val="1"/>
      </w:numPr>
      <w:spacing w:line="360" w:lineRule="auto"/>
      <w:outlineLvl w:val="4"/>
    </w:pPr>
    <w:rPr>
      <w:rFonts w:ascii="Arial" w:hAnsi="Arial" w:eastAsia="楷体_GB2312"/>
      <w:sz w:val="24"/>
      <w:szCs w:val="20"/>
    </w:rPr>
  </w:style>
  <w:style w:type="paragraph" w:styleId="7">
    <w:name w:val="heading 6"/>
    <w:basedOn w:val="1"/>
    <w:next w:val="6"/>
    <w:link w:val="34"/>
    <w:qFormat/>
    <w:uiPriority w:val="0"/>
    <w:pPr>
      <w:keepNext/>
      <w:keepLines/>
      <w:numPr>
        <w:ilvl w:val="5"/>
        <w:numId w:val="1"/>
      </w:numPr>
      <w:spacing w:line="360" w:lineRule="auto"/>
      <w:outlineLvl w:val="5"/>
    </w:pPr>
    <w:rPr>
      <w:rFonts w:ascii="Arial" w:hAnsi="Arial" w:eastAsia="楷体_GB2312"/>
      <w:sz w:val="24"/>
      <w:szCs w:val="20"/>
    </w:rPr>
  </w:style>
  <w:style w:type="paragraph" w:styleId="8">
    <w:name w:val="heading 7"/>
    <w:basedOn w:val="1"/>
    <w:next w:val="1"/>
    <w:link w:val="35"/>
    <w:qFormat/>
    <w:uiPriority w:val="0"/>
    <w:pPr>
      <w:keepNext/>
      <w:keepLines/>
      <w:numPr>
        <w:ilvl w:val="6"/>
        <w:numId w:val="1"/>
      </w:numPr>
      <w:tabs>
        <w:tab w:val="left" w:pos="0"/>
      </w:tabs>
      <w:adjustRightInd w:val="0"/>
      <w:spacing w:line="320" w:lineRule="atLeast"/>
      <w:textAlignment w:val="baseline"/>
      <w:outlineLvl w:val="6"/>
    </w:pPr>
    <w:rPr>
      <w:rFonts w:ascii="Arial" w:hAnsi="Arial" w:eastAsia="楷体_GB2312"/>
      <w:b/>
      <w:kern w:val="0"/>
      <w:sz w:val="24"/>
      <w:szCs w:val="20"/>
    </w:rPr>
  </w:style>
  <w:style w:type="paragraph" w:styleId="9">
    <w:name w:val="heading 8"/>
    <w:basedOn w:val="1"/>
    <w:next w:val="1"/>
    <w:link w:val="36"/>
    <w:qFormat/>
    <w:uiPriority w:val="0"/>
    <w:pPr>
      <w:keepNext/>
      <w:keepLines/>
      <w:numPr>
        <w:ilvl w:val="7"/>
        <w:numId w:val="1"/>
      </w:numPr>
      <w:tabs>
        <w:tab w:val="left" w:pos="0"/>
      </w:tabs>
      <w:adjustRightInd w:val="0"/>
      <w:spacing w:line="320" w:lineRule="atLeast"/>
      <w:textAlignment w:val="baseline"/>
      <w:outlineLvl w:val="7"/>
    </w:pPr>
    <w:rPr>
      <w:rFonts w:ascii="Arial" w:hAnsi="Arial" w:eastAsia="黑体"/>
      <w:kern w:val="0"/>
      <w:sz w:val="24"/>
      <w:szCs w:val="20"/>
    </w:rPr>
  </w:style>
  <w:style w:type="paragraph" w:styleId="10">
    <w:name w:val="heading 9"/>
    <w:basedOn w:val="1"/>
    <w:next w:val="1"/>
    <w:link w:val="37"/>
    <w:qFormat/>
    <w:uiPriority w:val="0"/>
    <w:pPr>
      <w:keepNext/>
      <w:keepLines/>
      <w:numPr>
        <w:ilvl w:val="8"/>
        <w:numId w:val="1"/>
      </w:numPr>
      <w:tabs>
        <w:tab w:val="left" w:pos="0"/>
      </w:tabs>
      <w:adjustRightInd w:val="0"/>
      <w:spacing w:line="320" w:lineRule="atLeast"/>
      <w:textAlignment w:val="baseline"/>
      <w:outlineLvl w:val="8"/>
    </w:pPr>
    <w:rPr>
      <w:rFonts w:ascii="Arial" w:hAnsi="Arial" w:eastAsia="黑体"/>
      <w:kern w:val="0"/>
      <w:sz w:val="24"/>
      <w:szCs w:val="20"/>
    </w:rPr>
  </w:style>
  <w:style w:type="character" w:default="1" w:styleId="24">
    <w:name w:val="Default Paragraph Font"/>
    <w:unhideWhenUsed/>
    <w:qFormat/>
    <w:uiPriority w:val="1"/>
  </w:style>
  <w:style w:type="table" w:default="1" w:styleId="23">
    <w:name w:val="Normal Table"/>
    <w:unhideWhenUsed/>
    <w:uiPriority w:val="99"/>
    <w:tblPr>
      <w:tblLayout w:type="fixed"/>
      <w:tblCellMar>
        <w:top w:w="0" w:type="dxa"/>
        <w:left w:w="108" w:type="dxa"/>
        <w:bottom w:w="0" w:type="dxa"/>
        <w:right w:w="108" w:type="dxa"/>
      </w:tblCellMar>
    </w:tblPr>
  </w:style>
  <w:style w:type="paragraph" w:styleId="6">
    <w:name w:val="Normal Indent"/>
    <w:basedOn w:val="1"/>
    <w:qFormat/>
    <w:uiPriority w:val="0"/>
    <w:pPr>
      <w:adjustRightInd w:val="0"/>
      <w:spacing w:line="360" w:lineRule="auto"/>
      <w:ind w:firstLine="420"/>
      <w:textAlignment w:val="baseline"/>
    </w:pPr>
    <w:rPr>
      <w:rFonts w:eastAsia="楷体_GB2312"/>
      <w:kern w:val="0"/>
      <w:sz w:val="24"/>
      <w:szCs w:val="20"/>
    </w:rPr>
  </w:style>
  <w:style w:type="paragraph" w:styleId="11">
    <w:name w:val="Document Map"/>
    <w:basedOn w:val="1"/>
    <w:link w:val="42"/>
    <w:qFormat/>
    <w:uiPriority w:val="0"/>
    <w:pPr>
      <w:shd w:val="clear" w:color="auto" w:fill="000080"/>
    </w:pPr>
  </w:style>
  <w:style w:type="paragraph" w:styleId="12">
    <w:name w:val="toa heading"/>
    <w:basedOn w:val="1"/>
    <w:next w:val="1"/>
    <w:uiPriority w:val="0"/>
    <w:rPr>
      <w:rFonts w:ascii="Arial" w:hAnsi="Arial" w:eastAsia="楷体_GB2312" w:cs="Arial"/>
      <w:sz w:val="24"/>
    </w:rPr>
  </w:style>
  <w:style w:type="paragraph" w:styleId="13">
    <w:name w:val="annotation text"/>
    <w:basedOn w:val="1"/>
    <w:link w:val="40"/>
    <w:unhideWhenUsed/>
    <w:qFormat/>
    <w:uiPriority w:val="0"/>
    <w:pPr>
      <w:jc w:val="left"/>
    </w:pPr>
  </w:style>
  <w:style w:type="paragraph" w:styleId="14">
    <w:name w:val="Body Text"/>
    <w:basedOn w:val="1"/>
    <w:link w:val="38"/>
    <w:qFormat/>
    <w:uiPriority w:val="0"/>
    <w:pPr>
      <w:spacing w:line="480" w:lineRule="auto"/>
      <w:jc w:val="center"/>
    </w:pPr>
    <w:rPr>
      <w:rFonts w:hint="eastAsia" w:ascii="宋体" w:eastAsia="楷体_GB2312"/>
      <w:b/>
      <w:sz w:val="72"/>
      <w:szCs w:val="20"/>
    </w:rPr>
  </w:style>
  <w:style w:type="paragraph" w:styleId="15">
    <w:name w:val="Body Text Indent"/>
    <w:basedOn w:val="1"/>
    <w:link w:val="43"/>
    <w:qFormat/>
    <w:uiPriority w:val="0"/>
    <w:pPr>
      <w:ind w:left="420" w:leftChars="200"/>
    </w:pPr>
  </w:style>
  <w:style w:type="paragraph" w:styleId="16">
    <w:name w:val="Plain Text"/>
    <w:basedOn w:val="1"/>
    <w:link w:val="44"/>
    <w:qFormat/>
    <w:uiPriority w:val="0"/>
    <w:rPr>
      <w:rFonts w:ascii="宋体" w:hAnsi="Courier New" w:eastAsia="楷体_GB2312"/>
      <w:szCs w:val="20"/>
    </w:rPr>
  </w:style>
  <w:style w:type="paragraph" w:styleId="17">
    <w:name w:val="Date"/>
    <w:basedOn w:val="1"/>
    <w:next w:val="1"/>
    <w:link w:val="39"/>
    <w:unhideWhenUsed/>
    <w:qFormat/>
    <w:uiPriority w:val="0"/>
    <w:pPr>
      <w:ind w:left="100" w:leftChars="2500"/>
    </w:pPr>
  </w:style>
  <w:style w:type="paragraph" w:styleId="18">
    <w:name w:val="Balloon Text"/>
    <w:basedOn w:val="1"/>
    <w:link w:val="45"/>
    <w:qFormat/>
    <w:uiPriority w:val="0"/>
    <w:rPr>
      <w:sz w:val="18"/>
      <w:szCs w:val="18"/>
    </w:rPr>
  </w:style>
  <w:style w:type="paragraph" w:styleId="19">
    <w:name w:val="footer"/>
    <w:basedOn w:val="1"/>
    <w:link w:val="46"/>
    <w:qFormat/>
    <w:uiPriority w:val="0"/>
    <w:pPr>
      <w:tabs>
        <w:tab w:val="center" w:pos="4153"/>
        <w:tab w:val="right" w:pos="8306"/>
      </w:tabs>
      <w:snapToGrid w:val="0"/>
      <w:jc w:val="left"/>
    </w:pPr>
    <w:rPr>
      <w:sz w:val="18"/>
      <w:szCs w:val="18"/>
    </w:rPr>
  </w:style>
  <w:style w:type="paragraph" w:styleId="20">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21">
    <w:name w:val="Normal (Web)"/>
    <w:basedOn w:val="1"/>
    <w:qFormat/>
    <w:uiPriority w:val="0"/>
    <w:pPr>
      <w:widowControl/>
      <w:spacing w:beforeAutospacing="1" w:afterAutospacing="1"/>
      <w:jc w:val="left"/>
    </w:pPr>
    <w:rPr>
      <w:rFonts w:ascii="宋体" w:hAnsi="宋体" w:cs="宋体"/>
      <w:kern w:val="0"/>
      <w:sz w:val="24"/>
    </w:rPr>
  </w:style>
  <w:style w:type="paragraph" w:styleId="22">
    <w:name w:val="annotation subject"/>
    <w:basedOn w:val="13"/>
    <w:next w:val="13"/>
    <w:link w:val="41"/>
    <w:qFormat/>
    <w:uiPriority w:val="0"/>
    <w:rPr>
      <w:b/>
      <w:bCs/>
    </w:rPr>
  </w:style>
  <w:style w:type="character" w:styleId="25">
    <w:name w:val="Strong"/>
    <w:qFormat/>
    <w:uiPriority w:val="0"/>
    <w:rPr>
      <w:b/>
      <w:bCs/>
    </w:rPr>
  </w:style>
  <w:style w:type="character" w:styleId="26">
    <w:name w:val="page number"/>
    <w:basedOn w:val="24"/>
    <w:qFormat/>
    <w:uiPriority w:val="0"/>
  </w:style>
  <w:style w:type="character" w:styleId="27">
    <w:name w:val="FollowedHyperlink"/>
    <w:qFormat/>
    <w:uiPriority w:val="0"/>
    <w:rPr>
      <w:color w:val="800080"/>
      <w:u w:val="single"/>
    </w:rPr>
  </w:style>
  <w:style w:type="character" w:styleId="28">
    <w:name w:val="Hyperlink"/>
    <w:qFormat/>
    <w:uiPriority w:val="0"/>
    <w:rPr>
      <w:color w:val="0000FF"/>
      <w:u w:val="single"/>
    </w:rPr>
  </w:style>
  <w:style w:type="character" w:styleId="29">
    <w:name w:val="annotation reference"/>
    <w:qFormat/>
    <w:uiPriority w:val="0"/>
    <w:rPr>
      <w:sz w:val="21"/>
      <w:szCs w:val="21"/>
    </w:rPr>
  </w:style>
  <w:style w:type="character" w:customStyle="1" w:styleId="30">
    <w:name w:val="标题 1 Char"/>
    <w:basedOn w:val="24"/>
    <w:link w:val="2"/>
    <w:qFormat/>
    <w:uiPriority w:val="0"/>
    <w:rPr>
      <w:rFonts w:ascii="宋体" w:hAnsi="Times New Roman" w:eastAsia="宋体" w:cs="Times New Roman"/>
      <w:sz w:val="28"/>
      <w:szCs w:val="24"/>
    </w:rPr>
  </w:style>
  <w:style w:type="character" w:customStyle="1" w:styleId="31">
    <w:name w:val="标题 2 Char"/>
    <w:basedOn w:val="24"/>
    <w:link w:val="3"/>
    <w:qFormat/>
    <w:uiPriority w:val="0"/>
    <w:rPr>
      <w:rFonts w:ascii="Arial" w:hAnsi="Arial" w:eastAsia="黑体" w:cs="Times New Roman"/>
      <w:b/>
      <w:bCs/>
      <w:sz w:val="32"/>
      <w:szCs w:val="32"/>
    </w:rPr>
  </w:style>
  <w:style w:type="character" w:customStyle="1" w:styleId="32">
    <w:name w:val="标题 3 Char"/>
    <w:basedOn w:val="24"/>
    <w:link w:val="4"/>
    <w:qFormat/>
    <w:uiPriority w:val="0"/>
    <w:rPr>
      <w:rFonts w:ascii="Times New Roman" w:hAnsi="Times New Roman" w:eastAsia="宋体" w:cs="Times New Roman"/>
      <w:b/>
      <w:bCs/>
      <w:sz w:val="32"/>
      <w:szCs w:val="32"/>
    </w:rPr>
  </w:style>
  <w:style w:type="character" w:customStyle="1" w:styleId="33">
    <w:name w:val="标题 5 Char"/>
    <w:basedOn w:val="24"/>
    <w:link w:val="5"/>
    <w:qFormat/>
    <w:uiPriority w:val="0"/>
    <w:rPr>
      <w:rFonts w:ascii="Arial" w:hAnsi="Arial" w:eastAsia="楷体_GB2312" w:cs="Times New Roman"/>
      <w:sz w:val="24"/>
      <w:szCs w:val="20"/>
    </w:rPr>
  </w:style>
  <w:style w:type="character" w:customStyle="1" w:styleId="34">
    <w:name w:val="标题 6 Char"/>
    <w:basedOn w:val="24"/>
    <w:link w:val="7"/>
    <w:qFormat/>
    <w:uiPriority w:val="0"/>
    <w:rPr>
      <w:rFonts w:ascii="Arial" w:hAnsi="Arial" w:eastAsia="楷体_GB2312" w:cs="Times New Roman"/>
      <w:sz w:val="24"/>
      <w:szCs w:val="20"/>
    </w:rPr>
  </w:style>
  <w:style w:type="character" w:customStyle="1" w:styleId="35">
    <w:name w:val="标题 7 Char"/>
    <w:basedOn w:val="24"/>
    <w:link w:val="8"/>
    <w:uiPriority w:val="0"/>
    <w:rPr>
      <w:rFonts w:ascii="Arial" w:hAnsi="Arial" w:eastAsia="楷体_GB2312" w:cs="Times New Roman"/>
      <w:b/>
      <w:kern w:val="0"/>
      <w:sz w:val="24"/>
      <w:szCs w:val="20"/>
    </w:rPr>
  </w:style>
  <w:style w:type="character" w:customStyle="1" w:styleId="36">
    <w:name w:val="标题 8 Char"/>
    <w:basedOn w:val="24"/>
    <w:link w:val="9"/>
    <w:qFormat/>
    <w:uiPriority w:val="0"/>
    <w:rPr>
      <w:rFonts w:ascii="Arial" w:hAnsi="Arial" w:eastAsia="黑体" w:cs="Times New Roman"/>
      <w:kern w:val="0"/>
      <w:sz w:val="24"/>
      <w:szCs w:val="20"/>
    </w:rPr>
  </w:style>
  <w:style w:type="character" w:customStyle="1" w:styleId="37">
    <w:name w:val="标题 9 Char"/>
    <w:basedOn w:val="24"/>
    <w:link w:val="10"/>
    <w:qFormat/>
    <w:uiPriority w:val="0"/>
    <w:rPr>
      <w:rFonts w:ascii="Arial" w:hAnsi="Arial" w:eastAsia="黑体" w:cs="Times New Roman"/>
      <w:kern w:val="0"/>
      <w:sz w:val="24"/>
      <w:szCs w:val="20"/>
    </w:rPr>
  </w:style>
  <w:style w:type="character" w:customStyle="1" w:styleId="38">
    <w:name w:val="正文文本 Char"/>
    <w:basedOn w:val="24"/>
    <w:link w:val="14"/>
    <w:qFormat/>
    <w:uiPriority w:val="0"/>
    <w:rPr>
      <w:rFonts w:ascii="宋体" w:hAnsi="Times New Roman" w:eastAsia="楷体_GB2312" w:cs="Times New Roman"/>
      <w:b/>
      <w:sz w:val="72"/>
      <w:szCs w:val="20"/>
    </w:rPr>
  </w:style>
  <w:style w:type="character" w:customStyle="1" w:styleId="39">
    <w:name w:val="日期 Char"/>
    <w:basedOn w:val="24"/>
    <w:link w:val="17"/>
    <w:semiHidden/>
    <w:qFormat/>
    <w:uiPriority w:val="99"/>
    <w:rPr>
      <w:rFonts w:ascii="Times New Roman" w:hAnsi="Times New Roman" w:eastAsia="宋体" w:cs="Times New Roman"/>
      <w:szCs w:val="24"/>
    </w:rPr>
  </w:style>
  <w:style w:type="character" w:customStyle="1" w:styleId="40">
    <w:name w:val="批注文字 Char"/>
    <w:basedOn w:val="24"/>
    <w:link w:val="13"/>
    <w:semiHidden/>
    <w:qFormat/>
    <w:uiPriority w:val="99"/>
    <w:rPr>
      <w:rFonts w:ascii="Times New Roman" w:hAnsi="Times New Roman" w:eastAsia="宋体" w:cs="Times New Roman"/>
      <w:szCs w:val="24"/>
    </w:rPr>
  </w:style>
  <w:style w:type="character" w:customStyle="1" w:styleId="41">
    <w:name w:val="批注主题 Char"/>
    <w:basedOn w:val="40"/>
    <w:link w:val="22"/>
    <w:qFormat/>
    <w:uiPriority w:val="0"/>
    <w:rPr>
      <w:rFonts w:ascii="Times New Roman" w:hAnsi="Times New Roman" w:eastAsia="宋体" w:cs="Times New Roman"/>
      <w:b/>
      <w:bCs/>
      <w:szCs w:val="24"/>
    </w:rPr>
  </w:style>
  <w:style w:type="character" w:customStyle="1" w:styleId="42">
    <w:name w:val="文档结构图 Char"/>
    <w:basedOn w:val="24"/>
    <w:link w:val="11"/>
    <w:qFormat/>
    <w:uiPriority w:val="0"/>
    <w:rPr>
      <w:rFonts w:ascii="Times New Roman" w:hAnsi="Times New Roman" w:eastAsia="宋体" w:cs="Times New Roman"/>
      <w:szCs w:val="24"/>
      <w:shd w:val="clear" w:color="auto" w:fill="000080"/>
    </w:rPr>
  </w:style>
  <w:style w:type="character" w:customStyle="1" w:styleId="43">
    <w:name w:val="正文文本缩进 Char"/>
    <w:basedOn w:val="24"/>
    <w:link w:val="15"/>
    <w:qFormat/>
    <w:uiPriority w:val="0"/>
    <w:rPr>
      <w:rFonts w:ascii="Times New Roman" w:hAnsi="Times New Roman" w:eastAsia="宋体" w:cs="Times New Roman"/>
      <w:szCs w:val="24"/>
    </w:rPr>
  </w:style>
  <w:style w:type="character" w:customStyle="1" w:styleId="44">
    <w:name w:val="纯文本 Char"/>
    <w:basedOn w:val="24"/>
    <w:link w:val="16"/>
    <w:qFormat/>
    <w:uiPriority w:val="0"/>
    <w:rPr>
      <w:rFonts w:ascii="宋体" w:hAnsi="Courier New" w:eastAsia="楷体_GB2312" w:cs="Times New Roman"/>
      <w:szCs w:val="20"/>
    </w:rPr>
  </w:style>
  <w:style w:type="character" w:customStyle="1" w:styleId="45">
    <w:name w:val="批注框文本 Char"/>
    <w:basedOn w:val="24"/>
    <w:link w:val="18"/>
    <w:qFormat/>
    <w:uiPriority w:val="0"/>
    <w:rPr>
      <w:rFonts w:ascii="Times New Roman" w:hAnsi="Times New Roman" w:eastAsia="宋体" w:cs="Times New Roman"/>
      <w:sz w:val="18"/>
      <w:szCs w:val="18"/>
    </w:rPr>
  </w:style>
  <w:style w:type="character" w:customStyle="1" w:styleId="46">
    <w:name w:val="页脚 Char"/>
    <w:basedOn w:val="24"/>
    <w:link w:val="19"/>
    <w:uiPriority w:val="0"/>
    <w:rPr>
      <w:rFonts w:ascii="Times New Roman" w:hAnsi="Times New Roman" w:eastAsia="宋体" w:cs="Times New Roman"/>
      <w:sz w:val="18"/>
      <w:szCs w:val="18"/>
    </w:rPr>
  </w:style>
  <w:style w:type="character" w:customStyle="1" w:styleId="47">
    <w:name w:val="页眉 Char"/>
    <w:basedOn w:val="24"/>
    <w:link w:val="20"/>
    <w:qFormat/>
    <w:uiPriority w:val="0"/>
    <w:rPr>
      <w:rFonts w:ascii="Times New Roman" w:hAnsi="Times New Roman" w:eastAsia="宋体" w:cs="Times New Roman"/>
      <w:sz w:val="18"/>
      <w:szCs w:val="18"/>
    </w:rPr>
  </w:style>
  <w:style w:type="paragraph" w:customStyle="1" w:styleId="48">
    <w:name w:val="Char Char Char1 Char"/>
    <w:basedOn w:val="1"/>
    <w:qFormat/>
    <w:uiPriority w:val="0"/>
    <w:pPr>
      <w:widowControl/>
      <w:spacing w:line="240" w:lineRule="exact"/>
      <w:jc w:val="left"/>
    </w:pPr>
    <w:rPr>
      <w:rFonts w:ascii="Arial" w:hAnsi="Arial" w:eastAsia="Times New Roman" w:cs="Verdana"/>
      <w:b/>
      <w:kern w:val="0"/>
      <w:sz w:val="24"/>
      <w:szCs w:val="20"/>
      <w:lang w:eastAsia="en-US"/>
    </w:rPr>
  </w:style>
  <w:style w:type="paragraph" w:customStyle="1" w:styleId="49">
    <w:name w:val="正文1"/>
    <w:basedOn w:val="1"/>
    <w:qFormat/>
    <w:uiPriority w:val="0"/>
    <w:pPr>
      <w:spacing w:line="360" w:lineRule="auto"/>
      <w:ind w:left="20" w:firstLine="510"/>
    </w:pPr>
    <w:rPr>
      <w:rFonts w:hint="eastAsia" w:ascii="宋体" w:eastAsia="楷体_GB2312"/>
      <w:sz w:val="24"/>
      <w:szCs w:val="20"/>
    </w:rPr>
  </w:style>
  <w:style w:type="paragraph" w:customStyle="1" w:styleId="50">
    <w:name w:val="样式 首行缩进:  2 字符"/>
    <w:basedOn w:val="1"/>
    <w:qFormat/>
    <w:uiPriority w:val="0"/>
    <w:pPr>
      <w:spacing w:afterAutospacing="1"/>
      <w:ind w:firstLine="200" w:firstLineChars="200"/>
    </w:pPr>
    <w:rPr>
      <w:rFonts w:cs="宋体"/>
      <w:szCs w:val="20"/>
    </w:rPr>
  </w:style>
  <w:style w:type="paragraph" w:customStyle="1" w:styleId="51">
    <w:name w:val="Char Char Char 字元 Char Char Char Char Char Char Char Char Char"/>
    <w:basedOn w:val="11"/>
    <w:qFormat/>
    <w:uiPriority w:val="0"/>
    <w:rPr>
      <w:rFonts w:ascii="Tahoma" w:hAnsi="Tahoma"/>
      <w:sz w:val="24"/>
    </w:rPr>
  </w:style>
  <w:style w:type="paragraph" w:customStyle="1" w:styleId="52">
    <w:name w:val="Char"/>
    <w:basedOn w:val="1"/>
    <w:qFormat/>
    <w:uiPriority w:val="0"/>
    <w:pPr>
      <w:spacing w:line="360" w:lineRule="auto"/>
    </w:pPr>
    <w:rPr>
      <w:rFonts w:ascii="仿宋_GB2312" w:eastAsia="仿宋_GB2312"/>
      <w:sz w:val="28"/>
      <w:szCs w:val="28"/>
      <w:lang w:val="en-GB"/>
    </w:rPr>
  </w:style>
  <w:style w:type="paragraph" w:customStyle="1" w:styleId="53">
    <w:name w:val="Char Char Char1 Char1"/>
    <w:basedOn w:val="1"/>
    <w:qFormat/>
    <w:uiPriority w:val="0"/>
    <w:pPr>
      <w:widowControl/>
      <w:spacing w:line="240" w:lineRule="exact"/>
      <w:jc w:val="left"/>
    </w:pPr>
    <w:rPr>
      <w:rFonts w:ascii="Arial" w:hAnsi="Arial" w:eastAsia="Times New Roman" w:cs="Verdana"/>
      <w:b/>
      <w:kern w:val="0"/>
      <w:sz w:val="24"/>
      <w:szCs w:val="20"/>
      <w:lang w:eastAsia="en-US"/>
    </w:rPr>
  </w:style>
  <w:style w:type="paragraph" w:customStyle="1" w:styleId="54">
    <w:name w:val="正文格式"/>
    <w:basedOn w:val="1"/>
    <w:qFormat/>
    <w:uiPriority w:val="0"/>
    <w:pPr>
      <w:spacing w:beforeLines="50" w:afterLines="50" w:line="360" w:lineRule="auto"/>
    </w:pPr>
  </w:style>
  <w:style w:type="paragraph" w:customStyle="1" w:styleId="55">
    <w:name w:val="默认段落字体 Para Char"/>
    <w:basedOn w:val="1"/>
    <w:qFormat/>
    <w:uiPriority w:val="0"/>
    <w:pPr>
      <w:spacing w:line="360" w:lineRule="auto"/>
    </w:pPr>
    <w:rPr>
      <w:sz w:val="24"/>
    </w:rPr>
  </w:style>
  <w:style w:type="paragraph" w:customStyle="1" w:styleId="56">
    <w:name w:val="普通(网站)1"/>
    <w:basedOn w:val="1"/>
    <w:qFormat/>
    <w:uiPriority w:val="0"/>
    <w:rPr>
      <w:sz w:val="24"/>
    </w:rPr>
  </w:style>
  <w:style w:type="paragraph" w:customStyle="1" w:styleId="57">
    <w:name w:val="样式 标题 2节 + 宋体 小四"/>
    <w:basedOn w:val="3"/>
    <w:link w:val="58"/>
    <w:qFormat/>
    <w:uiPriority w:val="0"/>
    <w:pPr>
      <w:numPr>
        <w:ilvl w:val="1"/>
        <w:numId w:val="2"/>
      </w:numPr>
      <w:spacing w:line="360" w:lineRule="auto"/>
    </w:pPr>
    <w:rPr>
      <w:rFonts w:ascii="宋体" w:hAnsi="宋体" w:eastAsia="宋体"/>
      <w:bCs w:val="0"/>
      <w:sz w:val="30"/>
      <w:szCs w:val="20"/>
    </w:rPr>
  </w:style>
  <w:style w:type="character" w:customStyle="1" w:styleId="58">
    <w:name w:val="样式 标题 2节 + 宋体 小四 Char Char"/>
    <w:link w:val="57"/>
    <w:qFormat/>
    <w:uiPriority w:val="0"/>
    <w:rPr>
      <w:rFonts w:ascii="宋体" w:hAnsi="宋体" w:eastAsia="宋体" w:cs="Times New Roman"/>
      <w:b/>
      <w:sz w:val="30"/>
      <w:szCs w:val="20"/>
    </w:rPr>
  </w:style>
  <w:style w:type="paragraph" w:customStyle="1" w:styleId="59">
    <w:name w:val="彩色列表 - 强调文字颜色 11"/>
    <w:basedOn w:val="1"/>
    <w:qFormat/>
    <w:uiPriority w:val="0"/>
    <w:pPr>
      <w:spacing w:line="360" w:lineRule="auto"/>
      <w:ind w:firstLine="420" w:firstLineChars="200"/>
    </w:pPr>
    <w:rPr>
      <w:sz w:val="24"/>
    </w:rPr>
  </w:style>
  <w:style w:type="character" w:customStyle="1" w:styleId="60">
    <w:name w:val="Plain Text Char"/>
    <w:qFormat/>
    <w:uiPriority w:val="0"/>
    <w:rPr>
      <w:rFonts w:ascii="宋体" w:hAnsi="Courier New" w:eastAsia="楷体_GB2312"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971</Words>
  <Characters>5537</Characters>
  <Lines>46</Lines>
  <Paragraphs>12</Paragraphs>
  <TotalTime>68</TotalTime>
  <ScaleCrop>false</ScaleCrop>
  <LinksUpToDate>false</LinksUpToDate>
  <CharactersWithSpaces>6496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2019-06-04T01:05:00Z</dcterms:created>
  <dc:creator>PC</dc:creator>
  <cp:lastModifiedBy>Administrator</cp:lastModifiedBy>
  <dcterms:modified xsi:type="dcterms:W3CDTF">2021-07-12T02:21:16Z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